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ind w:left="0" w:right="0" w:hanging="5760"/>
        <w:jc w:val="center"/>
        <w:rPr>
          <w:rFonts w:ascii="Roboto;sans-serif" w:hAnsi="Roboto;sans-serif"/>
          <w:b/>
          <w:color w:val="000000"/>
          <w:sz w:val="36"/>
        </w:rPr>
      </w:pPr>
      <w:r>
        <w:rPr>
          <w:rFonts w:ascii="Roboto;sans-serif" w:hAnsi="Roboto;sans-serif"/>
          <w:b/>
          <w:color w:val="000000"/>
          <w:sz w:val="36"/>
        </w:rPr>
        <w:t>UNITED STATES</w:t>
      </w:r>
    </w:p>
    <w:p>
      <w:pPr>
        <w:pStyle w:val="TextBody"/>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spacing w:lineRule="auto" w:line="345" w:before="0" w:after="0"/>
        <w:jc w:val="center"/>
        <w:rPr>
          <w:rFonts w:ascii="Roboto;sans-serif" w:hAnsi="Roboto;sans-serif"/>
          <w:b/>
          <w:color w:val="000000"/>
          <w:sz w:val="36"/>
        </w:rPr>
      </w:pPr>
      <w:r>
        <w:rPr>
          <w:rFonts w:ascii="Roboto;sans-serif" w:hAnsi="Roboto;sans-serif"/>
          <w:b/>
          <w:color w:val="000000"/>
          <w:sz w:val="36"/>
        </w:rPr>
        <w:t>FORM 10-Q</w:t>
      </w:r>
    </w:p>
    <w:p>
      <w:pPr>
        <w:pStyle w:val="TextBody"/>
        <w:spacing w:lineRule="auto" w:line="345" w:before="0" w:after="0"/>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20"/>
              </w:rPr>
            </w:pPr>
            <w:r>
              <w:rPr>
                <w:rFonts w:ascii="Roboto;sans-serif" w:hAnsi="Roboto;sans-serif"/>
                <w:b/>
                <w:color w:val="000000"/>
                <w:sz w:val="20"/>
              </w:rPr>
              <w:t>QUARTERLY REPORT PURSUANT TO SECTION 13 OR 15(d) OF THE SECURITIES EXCHANGE ACT OF 1934</w:t>
            </w:r>
          </w:p>
        </w:tc>
      </w:tr>
    </w:tbl>
    <w:p>
      <w:pPr>
        <w:pStyle w:val="TextBody"/>
        <w:spacing w:lineRule="auto" w:line="264" w:before="0" w:after="0"/>
        <w:jc w:val="center"/>
        <w:rPr>
          <w:rFonts w:ascii="Roboto;sans-serif" w:hAnsi="Roboto;sans-serif"/>
          <w:b/>
          <w:color w:val="000000"/>
          <w:sz w:val="20"/>
        </w:rPr>
      </w:pPr>
      <w:r>
        <w:rPr>
          <w:rFonts w:ascii="Roboto;sans-serif" w:hAnsi="Roboto;sans-serif"/>
          <w:b/>
          <w:color w:val="000000"/>
          <w:sz w:val="20"/>
        </w:rPr>
        <w:t>For the quarterly period ended March 31, 2023</w:t>
      </w:r>
    </w:p>
    <w:p>
      <w:pPr>
        <w:pStyle w:val="TextBody"/>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spacing w:before="0" w:after="0"/>
        <w:rPr/>
      </w:pPr>
      <w:r>
        <w:rPr/>
      </w:r>
    </w:p>
    <w:p>
      <w:pPr>
        <w:pStyle w:val="TextBody"/>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spacing w:before="0" w:after="0"/>
        <w:jc w:val="center"/>
        <w:rPr/>
      </w:pPr>
      <w:r>
        <w:rPr/>
      </w:r>
    </w:p>
    <w:p>
      <w:pPr>
        <w:pStyle w:val="TextBody"/>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center"/>
        <w:tblInd w:w="0" w:type="dxa"/>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r>
      <w:tr>
        <w:trPr/>
        <w:tc>
          <w:tcPr>
            <w:tcW w:w="46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0" w:after="283"/>
              <w:jc w:val="center"/>
              <w:rPr/>
            </w:pPr>
            <w:r>
              <w:rPr/>
              <w:t>Title of each class</w:t>
            </w:r>
          </w:p>
        </w:tc>
        <w:tc>
          <w:tcPr>
            <w:tcW w:w="17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spacing w:before="0" w:after="0"/>
        <w:jc w:val="center"/>
        <w:rPr/>
      </w:pPr>
      <w:r>
        <w:rPr/>
      </w:r>
    </w:p>
    <w:p>
      <w:pPr>
        <w:pStyle w:val="TextBody"/>
        <w:spacing w:lineRule="auto" w:line="252" w:before="0" w:after="60"/>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spacing w:before="0" w:after="60"/>
        <w:jc w:val="both"/>
        <w:rPr/>
      </w:pPr>
      <w:r>
        <w:rPr/>
      </w:r>
    </w:p>
    <w:p>
      <w:pPr>
        <w:pStyle w:val="TextBody"/>
        <w:spacing w:lineRule="auto" w:line="252" w:before="0" w:after="60"/>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spacing w:before="0" w:after="60"/>
        <w:jc w:val="both"/>
        <w:rPr/>
      </w:pPr>
      <w:r>
        <w:rPr/>
      </w:r>
    </w:p>
    <w:p>
      <w:pPr>
        <w:pStyle w:val="TextBody"/>
        <w:spacing w:lineRule="auto" w:line="252" w:before="0" w:after="60"/>
        <w:rPr>
          <w:rFonts w:ascii="Roboto;sans-serif" w:hAnsi="Roboto;sans-serif"/>
          <w:b w:val="false"/>
          <w:color w:val="000000"/>
          <w:sz w:val="20"/>
        </w:rPr>
      </w:pPr>
      <w:r>
        <w:rPr>
          <w:rFonts w:ascii="Roboto;sans-serif" w:hAnsi="Roboto;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center"/>
        <w:tblInd w:w="0" w:type="dxa"/>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color w:val="000000"/>
              </w:rPr>
            </w:pPr>
            <w:r>
              <w:rPr>
                <w:color w:val="000000"/>
              </w:rPr>
              <w:t>☒</w:t>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color w:val="000000"/>
              </w:rPr>
            </w:pPr>
            <w:r>
              <w:rPr>
                <w:color w:val="000000"/>
              </w:rPr>
              <w:t>☐</w:t>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color w:val="000000"/>
              </w:rPr>
            </w:pPr>
            <w:r>
              <w:rPr>
                <w:color w:val="000000"/>
              </w:rPr>
              <w:t>☐</w:t>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color w:val="000000"/>
              </w:rPr>
            </w:pPr>
            <w:r>
              <w:rPr>
                <w:color w:val="000000"/>
              </w:rPr>
              <w:t>☐</w:t>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ind w:left="0" w:right="0" w:firstLine="2880"/>
        <w:jc w:val="center"/>
        <w:rPr/>
      </w:pPr>
      <w:r>
        <w:rPr/>
      </w:r>
    </w:p>
    <w:p>
      <w:pPr>
        <w:pStyle w:val="TextBody"/>
        <w:spacing w:lineRule="auto" w:line="240" w:before="0" w:after="0"/>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pStyle w:val="TextBody"/>
        <w:spacing w:before="0" w:after="0"/>
        <w:rPr/>
      </w:pPr>
      <w:r>
        <w:rPr/>
      </w:r>
    </w:p>
    <w:p>
      <w:pPr>
        <w:pStyle w:val="TextBody"/>
        <w:spacing w:lineRule="auto" w:line="240" w:before="0" w:after="0"/>
        <w:rPr/>
      </w:pPr>
      <w:r>
        <w:rPr>
          <w:rFonts w:ascii="Roboto;sans-serif" w:hAnsi="Roboto;sans-serif"/>
          <w:b w:val="false"/>
          <w:color w:val="000000"/>
          <w:sz w:val="20"/>
        </w:rPr>
        <w:t>Indicate by check mark whether the registrant is a shell company (as defined in Rule 12b-2 of the Exchange Act).     Yes  </w:t>
      </w:r>
      <w:r>
        <w:rPr>
          <w:color w:val="000000"/>
        </w:rPr>
        <w:t>☐     </w:t>
      </w:r>
      <w:r>
        <w:rPr>
          <w:rFonts w:ascii="Roboto;sans-serif" w:hAnsi="Roboto;sans-serif"/>
          <w:b w:val="false"/>
          <w:color w:val="000000"/>
          <w:sz w:val="20"/>
        </w:rPr>
        <w:t>No  </w:t>
      </w:r>
      <w:r>
        <w:rPr>
          <w:color w:val="000000"/>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Roboto;sans-serif" w:hAnsi="Roboto;sans-serif"/>
          <w:b w:val="false"/>
          <w:color w:val="000000"/>
          <w:sz w:val="20"/>
        </w:rPr>
      </w:pPr>
      <w:r>
        <w:rPr>
          <w:rFonts w:ascii="Roboto;sans-serif" w:hAnsi="Roboto;sans-serif"/>
          <w:b w:val="false"/>
          <w:color w:val="000000"/>
          <w:sz w:val="20"/>
        </w:rPr>
        <w:t xml:space="preserve">As of April 28, 2023, the number of shares of the registrant’s Class A common stock outstanding was 336,128,664, and the number of shares of the registrant’s Class B common stock outstanding was 18,209,460.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180"/>
        <w:jc w:val="center"/>
        <w:rPr/>
      </w:pPr>
      <w:r>
        <w:rPr/>
      </w:r>
    </w:p>
    <w:tbl>
      <w:tblPr>
        <w:tblW w:w="10205" w:type="dxa"/>
        <w:jc w:val="center"/>
        <w:tblInd w:w="0" w:type="dxa"/>
        <w:tblCellMar>
          <w:top w:w="28" w:type="dxa"/>
          <w:left w:w="28" w:type="dxa"/>
          <w:bottom w:w="28" w:type="dxa"/>
          <w:right w:w="28" w:type="dxa"/>
        </w:tblCellMar>
      </w:tblPr>
      <w:tblGrid>
        <w:gridCol w:w="271"/>
        <w:gridCol w:w="238"/>
        <w:gridCol w:w="239"/>
        <w:gridCol w:w="3016"/>
        <w:gridCol w:w="2884"/>
        <w:gridCol w:w="2893"/>
        <w:gridCol w:w="193"/>
        <w:gridCol w:w="193"/>
        <w:gridCol w:w="278"/>
      </w:tblGrid>
      <w:tr>
        <w:trPr/>
        <w:tc>
          <w:tcPr>
            <w:tcW w:w="2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0">
              <w:r>
                <w:rPr>
                  <w:rStyle w:val="InternetLink"/>
                  <w:rFonts w:ascii="Roboto;sans-serif" w:hAnsi="Roboto;sans-serif"/>
                  <w:b w:val="false"/>
                  <w:color w:val="0000FF"/>
                  <w:sz w:val="18"/>
                  <w:u w:val="single"/>
                </w:rPr>
                <w:t>Special Note Regarding Forward Looking Statements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0">
              <w:r>
                <w:rPr>
                  <w:rStyle w:val="InternetLink"/>
                  <w:rFonts w:ascii="Roboto;sans-serif" w:hAnsi="Roboto;sans-serif"/>
                  <w:b w:val="false"/>
                  <w:color w:val="0000FF"/>
                  <w:sz w:val="18"/>
                  <w:u w:val="single"/>
                </w:rPr>
                <w:t>3</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Part I. Financial Information</w:t>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6">
              <w:r>
                <w:rPr>
                  <w:rStyle w:val="InternetLink"/>
                  <w:rFonts w:ascii="Roboto;sans-serif" w:hAnsi="Roboto;sans-serif"/>
                  <w:b w:val="false"/>
                  <w:color w:val="0000FF"/>
                  <w:sz w:val="18"/>
                  <w:u w:val="single"/>
                </w:rPr>
                <w:t>Item 1.</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6">
              <w:r>
                <w:rPr>
                  <w:rStyle w:val="InternetLink"/>
                  <w:rFonts w:ascii="Roboto;sans-serif" w:hAnsi="Roboto;sans-serif"/>
                  <w:b w:val="false"/>
                  <w:color w:val="0000FF"/>
                  <w:sz w:val="18"/>
                  <w:u w:val="single"/>
                </w:rPr>
                <w:t>Financial Statements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6">
              <w:r>
                <w:rPr>
                  <w:rStyle w:val="InternetLink"/>
                  <w:rFonts w:ascii="Roboto;sans-serif" w:hAnsi="Roboto;sans-serif"/>
                  <w:b w:val="false"/>
                  <w:color w:val="0000FF"/>
                  <w:sz w:val="18"/>
                  <w:u w:val="single"/>
                </w:rPr>
                <w:t>4</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9">
              <w:r>
                <w:rPr>
                  <w:rStyle w:val="InternetLink"/>
                  <w:rFonts w:ascii="Roboto;sans-serif" w:hAnsi="Roboto;sans-serif"/>
                  <w:b w:val="false"/>
                  <w:color w:val="0000FF"/>
                  <w:sz w:val="18"/>
                  <w:u w:val="single"/>
                </w:rPr>
                <w:t>Condensed Consolidated Balance Sheets as of March 31, 2023 (unaudited) and June 30, 2022</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9">
              <w:r>
                <w:rPr>
                  <w:rStyle w:val="InternetLink"/>
                  <w:rFonts w:ascii="Roboto;sans-serif" w:hAnsi="Roboto;sans-serif"/>
                  <w:b w:val="false"/>
                  <w:color w:val="0000FF"/>
                  <w:sz w:val="18"/>
                  <w:u w:val="single"/>
                </w:rPr>
                <w:t>4</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22">
              <w:r>
                <w:rPr>
                  <w:rStyle w:val="InternetLink"/>
                  <w:rFonts w:ascii="Roboto;sans-serif" w:hAnsi="Roboto;sans-serif"/>
                  <w:b w:val="false"/>
                  <w:color w:val="0000FF"/>
                  <w:sz w:val="18"/>
                  <w:u w:val="single"/>
                </w:rPr>
                <w:t>Condensed Consolidated Statements of Operations and Comprehensive Loss for the Three and Nine Months Ended March 31, 2023 and 2022 (unaudited)</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22">
              <w:r>
                <w:rPr>
                  <w:rStyle w:val="InternetLink"/>
                  <w:rFonts w:ascii="Roboto;sans-serif" w:hAnsi="Roboto;sans-serif"/>
                  <w:b w:val="false"/>
                  <w:color w:val="0000FF"/>
                  <w:sz w:val="18"/>
                  <w:u w:val="single"/>
                </w:rPr>
                <w:t>5</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25">
              <w:r>
                <w:rPr>
                  <w:rStyle w:val="InternetLink"/>
                  <w:rFonts w:ascii="Roboto;sans-serif" w:hAnsi="Roboto;sans-serif"/>
                  <w:b w:val="false"/>
                  <w:color w:val="0000FF"/>
                  <w:sz w:val="18"/>
                  <w:u w:val="single"/>
                </w:rPr>
                <w:t>Condensed Consolidated Statements of Cash Flows for the Nine Months Ended March 31, 2023 and 2022 (unaudited)</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25">
              <w:r>
                <w:rPr>
                  <w:rStyle w:val="InternetLink"/>
                  <w:rFonts w:ascii="Roboto;sans-serif" w:hAnsi="Roboto;sans-serif"/>
                  <w:b w:val="false"/>
                  <w:color w:val="0000FF"/>
                  <w:sz w:val="18"/>
                  <w:u w:val="single"/>
                </w:rPr>
                <w:t>5</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28">
              <w:r>
                <w:rPr>
                  <w:rStyle w:val="InternetLink"/>
                </w:rPr>
                <w:t xml:space="preserve">Condensed Consolidated Statements of Stockholders' Equity </w:t>
              </w:r>
            </w:hyperlink>
            <w:hyperlink w:anchor="ia26db0ac772749c8991803263a8eaee1_28">
              <w:r>
                <w:rPr>
                  <w:rStyle w:val="InternetLink"/>
                </w:rPr>
                <w:t xml:space="preserve">(Deficit) </w:t>
              </w:r>
            </w:hyperlink>
            <w:hyperlink w:anchor="ia26db0ac772749c8991803263a8eaee1_28">
              <w:r>
                <w:rPr>
                  <w:rStyle w:val="InternetLink"/>
                </w:rPr>
                <w:t>for the Three and Nine Months Ended March 31, 2023 and 2022 (unaudited)</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28">
              <w:r>
                <w:rPr>
                  <w:rStyle w:val="InternetLink"/>
                  <w:rFonts w:ascii="Roboto;sans-serif" w:hAnsi="Roboto;sans-serif"/>
                  <w:b w:val="false"/>
                  <w:color w:val="0000FF"/>
                  <w:sz w:val="18"/>
                  <w:u w:val="single"/>
                </w:rPr>
                <w:t>8</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31">
              <w:r>
                <w:rPr>
                  <w:rStyle w:val="InternetLink"/>
                  <w:rFonts w:ascii="Roboto;sans-serif" w:hAnsi="Roboto;sans-serif"/>
                  <w:b w:val="false"/>
                  <w:color w:val="0000FF"/>
                  <w:sz w:val="18"/>
                  <w:u w:val="single"/>
                </w:rPr>
                <w:t>Notes to Condensed Consolidated Financial Statements (unaudited)</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31">
              <w:r>
                <w:rPr>
                  <w:rStyle w:val="InternetLink"/>
                  <w:rFonts w:ascii="Roboto;sans-serif" w:hAnsi="Roboto;sans-serif"/>
                  <w:b w:val="false"/>
                  <w:color w:val="0000FF"/>
                  <w:sz w:val="18"/>
                  <w:u w:val="single"/>
                </w:rPr>
                <w:t>9</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73">
              <w:r>
                <w:rPr>
                  <w:rStyle w:val="InternetLink"/>
                  <w:rFonts w:ascii="Roboto;sans-serif" w:hAnsi="Roboto;sans-serif"/>
                  <w:b w:val="false"/>
                  <w:color w:val="0000FF"/>
                  <w:sz w:val="18"/>
                  <w:u w:val="single"/>
                </w:rPr>
                <w:t>Item 2.</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73">
              <w:r>
                <w:rPr>
                  <w:rStyle w:val="InternetLink"/>
                  <w:rFonts w:ascii="Roboto;sans-serif" w:hAnsi="Roboto;sans-serif"/>
                  <w:b w:val="false"/>
                  <w:color w:val="0000FF"/>
                  <w:sz w:val="18"/>
                  <w:u w:val="single"/>
                </w:rPr>
                <w:t>Management’s Discussion and Analysis of Financial Condition and Results of Operations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73">
              <w:r>
                <w:rPr>
                  <w:rStyle w:val="InternetLink"/>
                  <w:rFonts w:ascii="Roboto;sans-serif" w:hAnsi="Roboto;sans-serif"/>
                  <w:b w:val="false"/>
                  <w:color w:val="0000FF"/>
                  <w:sz w:val="18"/>
                  <w:u w:val="single"/>
                </w:rPr>
                <w:t>25</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03">
              <w:r>
                <w:rPr>
                  <w:rStyle w:val="InternetLink"/>
                  <w:rFonts w:ascii="Roboto;sans-serif" w:hAnsi="Roboto;sans-serif"/>
                  <w:b w:val="false"/>
                  <w:color w:val="0000FF"/>
                  <w:sz w:val="18"/>
                  <w:u w:val="single"/>
                </w:rPr>
                <w:t>Item 3.</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03">
              <w:r>
                <w:rPr>
                  <w:rStyle w:val="InternetLink"/>
                  <w:rFonts w:ascii="Roboto;sans-serif" w:hAnsi="Roboto;sans-serif"/>
                  <w:b w:val="false"/>
                  <w:color w:val="0000FF"/>
                  <w:sz w:val="18"/>
                  <w:u w:val="single"/>
                </w:rPr>
                <w:t>Quantitative and Qualitative Disclosures About Market Risk</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03">
              <w:r>
                <w:rPr>
                  <w:rStyle w:val="InternetLink"/>
                  <w:rFonts w:ascii="Roboto;sans-serif" w:hAnsi="Roboto;sans-serif"/>
                  <w:b w:val="false"/>
                  <w:color w:val="0000FF"/>
                  <w:sz w:val="18"/>
                  <w:u w:val="single"/>
                </w:rPr>
                <w:t>42</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06">
              <w:r>
                <w:rPr>
                  <w:rStyle w:val="InternetLink"/>
                  <w:rFonts w:ascii="Roboto;sans-serif" w:hAnsi="Roboto;sans-serif"/>
                  <w:b w:val="false"/>
                  <w:color w:val="0000FF"/>
                  <w:sz w:val="18"/>
                  <w:u w:val="single"/>
                </w:rPr>
                <w:t>Item 4.</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06">
              <w:r>
                <w:rPr>
                  <w:rStyle w:val="InternetLink"/>
                  <w:rFonts w:ascii="Roboto;sans-serif" w:hAnsi="Roboto;sans-serif"/>
                  <w:b w:val="false"/>
                  <w:color w:val="0000FF"/>
                  <w:sz w:val="18"/>
                  <w:u w:val="single"/>
                </w:rPr>
                <w:t>Controls and Procedures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06">
              <w:r>
                <w:rPr>
                  <w:rStyle w:val="InternetLink"/>
                  <w:rFonts w:ascii="Roboto;sans-serif" w:hAnsi="Roboto;sans-serif"/>
                  <w:b w:val="false"/>
                  <w:color w:val="0000FF"/>
                  <w:sz w:val="18"/>
                  <w:u w:val="single"/>
                </w:rPr>
                <w:t>42</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Part II. Other Information</w:t>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12">
              <w:r>
                <w:rPr>
                  <w:rStyle w:val="InternetLink"/>
                  <w:rFonts w:ascii="Roboto;sans-serif" w:hAnsi="Roboto;sans-serif"/>
                  <w:b w:val="false"/>
                  <w:color w:val="0000FF"/>
                  <w:sz w:val="18"/>
                  <w:u w:val="single"/>
                </w:rPr>
                <w:t>Item 1.</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12">
              <w:r>
                <w:rPr>
                  <w:rStyle w:val="InternetLink"/>
                  <w:rFonts w:ascii="Roboto;sans-serif" w:hAnsi="Roboto;sans-serif"/>
                  <w:b w:val="false"/>
                  <w:color w:val="0000FF"/>
                  <w:sz w:val="18"/>
                  <w:u w:val="single"/>
                </w:rPr>
                <w:t>Legal Proceedings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12">
              <w:r>
                <w:rPr>
                  <w:rStyle w:val="InternetLink"/>
                  <w:rFonts w:ascii="Roboto;sans-serif" w:hAnsi="Roboto;sans-serif"/>
                  <w:b w:val="false"/>
                  <w:color w:val="0000FF"/>
                  <w:sz w:val="18"/>
                  <w:u w:val="single"/>
                </w:rPr>
                <w:t>43</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15">
              <w:r>
                <w:rPr>
                  <w:rStyle w:val="InternetLink"/>
                  <w:rFonts w:ascii="Roboto;sans-serif" w:hAnsi="Roboto;sans-serif"/>
                  <w:b w:val="false"/>
                  <w:color w:val="0000FF"/>
                  <w:sz w:val="18"/>
                  <w:u w:val="single"/>
                </w:rPr>
                <w:t>Item 1A.</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15">
              <w:r>
                <w:rPr>
                  <w:rStyle w:val="InternetLink"/>
                  <w:rFonts w:ascii="Roboto;sans-serif" w:hAnsi="Roboto;sans-serif"/>
                  <w:b w:val="false"/>
                  <w:color w:val="0000FF"/>
                  <w:sz w:val="18"/>
                  <w:u w:val="single"/>
                </w:rPr>
                <w:t>Risk Factors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15">
              <w:r>
                <w:rPr>
                  <w:rStyle w:val="InternetLink"/>
                  <w:rFonts w:ascii="Roboto;sans-serif" w:hAnsi="Roboto;sans-serif"/>
                  <w:b w:val="false"/>
                  <w:color w:val="0000FF"/>
                  <w:sz w:val="18"/>
                  <w:u w:val="single"/>
                </w:rPr>
                <w:t>44</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18">
              <w:r>
                <w:rPr>
                  <w:rStyle w:val="InternetLink"/>
                  <w:rFonts w:ascii="Roboto;sans-serif" w:hAnsi="Roboto;sans-serif"/>
                  <w:b w:val="false"/>
                  <w:color w:val="0000FF"/>
                  <w:sz w:val="18"/>
                  <w:u w:val="single"/>
                </w:rPr>
                <w:t>Item 2.</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18">
              <w:r>
                <w:rPr>
                  <w:rStyle w:val="InternetLink"/>
                  <w:rFonts w:ascii="Roboto;sans-serif" w:hAnsi="Roboto;sans-serif"/>
                  <w:b w:val="false"/>
                  <w:color w:val="0000FF"/>
                  <w:sz w:val="18"/>
                  <w:u w:val="single"/>
                </w:rPr>
                <w:t>Unregistered Sales of Equity Securities and Use of Proceeds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18">
              <w:r>
                <w:rPr>
                  <w:rStyle w:val="InternetLink"/>
                  <w:rFonts w:ascii="Roboto;sans-serif" w:hAnsi="Roboto;sans-serif"/>
                  <w:b w:val="false"/>
                  <w:color w:val="0000FF"/>
                  <w:sz w:val="18"/>
                  <w:u w:val="single"/>
                </w:rPr>
                <w:t>45</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21">
              <w:r>
                <w:rPr>
                  <w:rStyle w:val="InternetLink"/>
                  <w:rFonts w:ascii="Roboto;sans-serif" w:hAnsi="Roboto;sans-serif"/>
                  <w:b w:val="false"/>
                  <w:color w:val="0000FF"/>
                  <w:sz w:val="18"/>
                  <w:u w:val="single"/>
                </w:rPr>
                <w:t>Item 3.</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21">
              <w:r>
                <w:rPr>
                  <w:rStyle w:val="InternetLink"/>
                  <w:rFonts w:ascii="Roboto;sans-serif" w:hAnsi="Roboto;sans-serif"/>
                  <w:b w:val="false"/>
                  <w:color w:val="0000FF"/>
                  <w:sz w:val="18"/>
                  <w:u w:val="single"/>
                </w:rPr>
                <w:t>Defaults Upon Senior Securities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21">
              <w:r>
                <w:rPr>
                  <w:rStyle w:val="InternetLink"/>
                  <w:rFonts w:ascii="Roboto;sans-serif" w:hAnsi="Roboto;sans-serif"/>
                  <w:b w:val="false"/>
                  <w:color w:val="0000FF"/>
                  <w:sz w:val="18"/>
                  <w:u w:val="single"/>
                </w:rPr>
                <w:t>45</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24">
              <w:r>
                <w:rPr>
                  <w:rStyle w:val="InternetLink"/>
                  <w:rFonts w:ascii="Roboto;sans-serif" w:hAnsi="Roboto;sans-serif"/>
                  <w:b w:val="false"/>
                  <w:color w:val="0000FF"/>
                  <w:sz w:val="18"/>
                  <w:u w:val="single"/>
                </w:rPr>
                <w:t>Item 4.</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24">
              <w:r>
                <w:rPr>
                  <w:rStyle w:val="InternetLink"/>
                  <w:rFonts w:ascii="Roboto;sans-serif" w:hAnsi="Roboto;sans-serif"/>
                  <w:b w:val="false"/>
                  <w:color w:val="0000FF"/>
                  <w:sz w:val="18"/>
                  <w:u w:val="single"/>
                </w:rPr>
                <w:t>Mine Safety Disclosures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24">
              <w:r>
                <w:rPr>
                  <w:rStyle w:val="InternetLink"/>
                  <w:rFonts w:ascii="Roboto;sans-serif" w:hAnsi="Roboto;sans-serif"/>
                  <w:b w:val="false"/>
                  <w:color w:val="0000FF"/>
                  <w:sz w:val="18"/>
                  <w:u w:val="single"/>
                </w:rPr>
                <w:t>45</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27">
              <w:r>
                <w:rPr>
                  <w:rStyle w:val="InternetLink"/>
                  <w:rFonts w:ascii="Roboto;sans-serif" w:hAnsi="Roboto;sans-serif"/>
                  <w:b w:val="false"/>
                  <w:color w:val="0000FF"/>
                  <w:sz w:val="18"/>
                  <w:u w:val="single"/>
                </w:rPr>
                <w:t>Item 5.</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27">
              <w:r>
                <w:rPr>
                  <w:rStyle w:val="InternetLink"/>
                  <w:rFonts w:ascii="Roboto;sans-serif" w:hAnsi="Roboto;sans-serif"/>
                  <w:b w:val="false"/>
                  <w:color w:val="0000FF"/>
                  <w:sz w:val="18"/>
                  <w:u w:val="single"/>
                </w:rPr>
                <w:t>Other Information</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27">
              <w:r>
                <w:rPr>
                  <w:rStyle w:val="InternetLink"/>
                  <w:rFonts w:ascii="Roboto;sans-serif" w:hAnsi="Roboto;sans-serif"/>
                  <w:b w:val="false"/>
                  <w:color w:val="0000FF"/>
                  <w:sz w:val="18"/>
                  <w:u w:val="single"/>
                </w:rPr>
                <w:t>45</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30">
              <w:r>
                <w:rPr>
                  <w:rStyle w:val="InternetLink"/>
                  <w:rFonts w:ascii="Roboto;sans-serif" w:hAnsi="Roboto;sans-serif"/>
                  <w:b w:val="false"/>
                  <w:color w:val="0000FF"/>
                  <w:sz w:val="18"/>
                  <w:u w:val="single"/>
                </w:rPr>
                <w:t>Item 6.</w:t>
              </w:r>
            </w:hyperlink>
          </w:p>
        </w:tc>
        <w:tc>
          <w:tcPr>
            <w:tcW w:w="87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30">
              <w:r>
                <w:rPr>
                  <w:rStyle w:val="InternetLink"/>
                  <w:rFonts w:ascii="Roboto;sans-serif" w:hAnsi="Roboto;sans-serif"/>
                  <w:b w:val="false"/>
                  <w:color w:val="0000FF"/>
                  <w:sz w:val="18"/>
                  <w:u w:val="single"/>
                </w:rPr>
                <w:t>Exhibits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30">
              <w:r>
                <w:rPr>
                  <w:rStyle w:val="InternetLink"/>
                  <w:rFonts w:ascii="Roboto;sans-serif" w:hAnsi="Roboto;sans-serif"/>
                  <w:b w:val="false"/>
                  <w:color w:val="0000FF"/>
                  <w:sz w:val="18"/>
                  <w:u w:val="single"/>
                </w:rPr>
                <w:t>46</w:t>
              </w:r>
            </w:hyperlink>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4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26db0ac772749c8991803263a8eaee1_133">
              <w:r>
                <w:rPr>
                  <w:rStyle w:val="InternetLink"/>
                  <w:rFonts w:ascii="Roboto;sans-serif" w:hAnsi="Roboto;sans-serif"/>
                  <w:b w:val="false"/>
                  <w:color w:val="0000FF"/>
                  <w:sz w:val="18"/>
                  <w:u w:val="single"/>
                </w:rPr>
                <w:t>SIGNATURES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26db0ac772749c8991803263a8eaee1_133">
              <w:r>
                <w:rPr>
                  <w:rStyle w:val="InternetLink"/>
                  <w:rFonts w:ascii="Roboto;sans-serif" w:hAnsi="Roboto;sans-serif"/>
                  <w:b w:val="false"/>
                  <w:color w:val="0000FF"/>
                  <w:sz w:val="18"/>
                  <w:u w:val="single"/>
                </w:rPr>
                <w:t>47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 LOOKING STATEMENTS</w:t>
      </w:r>
    </w:p>
    <w:p>
      <w:pPr>
        <w:pStyle w:val="TextBody"/>
        <w:spacing w:before="0" w:after="0"/>
        <w:jc w:val="both"/>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store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ability to achieve and maintain future profitability;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ability to attract and maintain Subscribers;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ability to accurately forecast consumer demand of our products and services and adequately maintain our inventory;</w:t>
      </w:r>
    </w:p>
    <w:p>
      <w:pPr>
        <w:pStyle w:val="TextBody"/>
        <w:spacing w:before="0" w:after="0"/>
        <w:jc w:val="both"/>
        <w:rPr/>
      </w:pPr>
      <w:r>
        <w:rPr/>
      </w:r>
    </w:p>
    <w:p>
      <w:pPr>
        <w:pStyle w:val="TextBody"/>
        <w:spacing w:lineRule="auto" w:line="268" w:before="0" w:after="0"/>
        <w:ind w:left="0" w:right="0" w:hanging="360"/>
        <w:rPr/>
      </w:pPr>
      <w:r>
        <w:rPr>
          <w:color w:val="000000"/>
        </w:rPr>
        <w:t>•</w:t>
      </w:r>
      <w:r>
        <w:rPr>
          <w:rFonts w:ascii="Roboto;sans-serif" w:hAnsi="Roboto;sans-serif"/>
          <w:b w:val="false"/>
          <w:color w:val="000000"/>
          <w:sz w:val="18"/>
        </w:rPr>
        <w:t>our ability to execute and achieve the expected benefits of our restructuring initiatives and other cost-saving measures;</w:t>
      </w:r>
    </w:p>
    <w:p>
      <w:pPr>
        <w:pStyle w:val="TextBody"/>
        <w:spacing w:before="0" w:after="0"/>
        <w:rPr/>
      </w:pPr>
      <w:r>
        <w:rPr/>
      </w:r>
    </w:p>
    <w:p>
      <w:pPr>
        <w:pStyle w:val="TextBody"/>
        <w:spacing w:lineRule="auto" w:line="268" w:before="0" w:after="0"/>
        <w:ind w:left="0" w:right="0" w:hanging="360"/>
        <w:rPr/>
      </w:pPr>
      <w:r>
        <w:rPr>
          <w:color w:val="000000"/>
        </w:rPr>
        <w:t>•</w:t>
      </w:r>
      <w:r>
        <w:rPr>
          <w:rFonts w:ascii="Roboto;sans-serif" w:hAnsi="Roboto;sans-serif"/>
          <w:b w:val="false"/>
          <w:color w:val="000000"/>
          <w:sz w:val="18"/>
        </w:rPr>
        <w:t xml:space="preserve">our ability to effectively manage our growth; </w:t>
      </w:r>
    </w:p>
    <w:p>
      <w:pPr>
        <w:pStyle w:val="TextBody"/>
        <w:spacing w:before="0" w:after="0"/>
        <w:jc w:val="both"/>
        <w:rPr/>
      </w:pPr>
      <w:r>
        <w:rPr/>
      </w:r>
    </w:p>
    <w:p>
      <w:pPr>
        <w:pStyle w:val="TextBody"/>
        <w:spacing w:lineRule="auto" w:line="268" w:before="0" w:after="0"/>
        <w:ind w:left="0" w:right="0" w:hanging="360"/>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or effectively manage the introduction of new or enhanced products and services;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demand for our products and services and growth of the connected fitness products industry;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reliance on a limited number of suppliers, contract manufacturers, and logistics partners for our Connected Fitness Products (as defined below);</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reliance on and lack of control over suppliers, contract manufacturers and logistics partners for our Connected Fitness Products;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ability to predict our long-term performance and declines in our revenue growth as our business matures;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declines in sales of our Bike and Bike+;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the direct and indirect impacts to our business and financial performance from the COVID-19 pandemic;</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product recalls or legal or regulatory claims, proceedings or investigations involving our products;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our ability to stay in compliance with laws and regulations that currently apply or become applicable to our business both in the United States and internationally; and</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Roboto;sans-serif" w:hAnsi="Roboto;sans-serif"/>
          <w:b w:val="false"/>
          <w:color w:val="000000"/>
          <w:sz w:val="18"/>
        </w:rPr>
        <w:t>those risks and uncertainties described in the section titled “Management’s Discussion and Analysis of Financial Condition and Results of Operations” in Part I, Item 2 and “Risk Factors” in Part II, Item 1A in this Quarterly Report on Form 10-Q and the sections titled “Risk Factors” in Part I, Item 1A and “Management’s Discussion and Analysis of Financial Condition and Results of Operations” in Part II, Item 7 in our Annual Report on Form 10-K for the fiscal year ended June 30, 2022, as such factors may be updated in our filings with the Securities and Exchange Commission (the “SEC”).</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Quarterly Report on Form 10-Q, the words “we,” “us,” “our,” and "Peloton" refer to Peloton Interactive, Inc. and its wholly owned subsidiaries, unless the context requires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v:rect>
            </w:pict>
          </mc:Fallback>
        </mc:AlternateContent>
      </w:r>
    </w:p>
    <w:p>
      <w:pPr>
        <w:pStyle w:val="TextBody"/>
        <w:spacing w:before="0" w:after="0"/>
        <w:rPr/>
      </w:pPr>
      <w:r>
        <w:rPr/>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Roboto;sans-serif" w:hAnsi="Roboto;sans-serif"/>
          <w:b/>
          <w:color w:val="000000"/>
          <w:sz w:val="20"/>
        </w:rPr>
      </w:pPr>
      <w:r>
        <w:rPr>
          <w:rFonts w:ascii="Roboto;sans-serif" w:hAnsi="Roboto;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CellMar>
          <w:top w:w="28" w:type="dxa"/>
          <w:left w:w="28" w:type="dxa"/>
          <w:bottom w:w="28" w:type="dxa"/>
          <w:right w:w="28" w:type="dxa"/>
        </w:tblCellMar>
      </w:tblPr>
      <w:tblGrid>
        <w:gridCol w:w="3129"/>
        <w:gridCol w:w="2167"/>
        <w:gridCol w:w="2057"/>
        <w:gridCol w:w="232"/>
        <w:gridCol w:w="912"/>
        <w:gridCol w:w="112"/>
        <w:gridCol w:w="109"/>
        <w:gridCol w:w="109"/>
        <w:gridCol w:w="109"/>
        <w:gridCol w:w="226"/>
        <w:gridCol w:w="886"/>
        <w:gridCol w:w="157"/>
      </w:tblGrid>
      <w:tr>
        <w:trPr/>
        <w:tc>
          <w:tcPr>
            <w:tcW w:w="312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53"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53" w:type="dxa"/>
            <w:gridSpan w:val="3"/>
            <w:vMerge w:val="continue"/>
            <w:tcBorders/>
            <w:shd w:fill="auto" w:val="clear"/>
            <w:tcMar>
              <w:top w:w="0" w:type="dxa"/>
              <w:left w:w="0" w:type="dxa"/>
              <w:bottom w:w="0" w:type="dxa"/>
              <w:right w:w="0" w:type="dxa"/>
            </w:tcMar>
            <w:vAlign w:val="center"/>
          </w:tcPr>
          <w:p>
            <w:pPr>
              <w:pStyle w:val="Normal"/>
              <w:rPr/>
            </w:pPr>
            <w:r>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7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1,253.9 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545.7 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 EQUITY</w:t>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797.4 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201.1 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long-term debt and other bank borrowings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813.2 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 net</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619.5 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8)</w:t>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Stockholders’ (deficit) equity</w:t>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Class A shares authorized, 336,026,041 and 308,241,938 shares issued and outstanding as of March 31, 2023 and June 30, 2022, respectively; 2,500,000,000 and 2,500,000,000 Class B shares authorized, 18,209,460 and 30,032,078 shares issued and outstanding as of March 31, 2023 and June 30, 2022, respectively.</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4,543.0 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4,291.3 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(4,690.0)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(3,710.6)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 equity</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3,016.3 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4,028.5 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pPr>
      <w:r>
        <w:rPr>
          <w:rFonts w:ascii="Roboto;sans-serif" w:hAnsi="Roboto;sans-serif"/>
          <w:b w:val="false"/>
          <w:i/>
          <w:color w:val="000000"/>
          <w:sz w:val="18"/>
        </w:rPr>
        <w:t>See accompanying notes to these unaudited condensed consolidated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v:rect>
            </w:pict>
          </mc:Fallback>
        </mc:AlternateConten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left"/>
        <w:tblInd w:w="0" w:type="dxa"/>
        <w:tblCellMar>
          <w:top w:w="28" w:type="dxa"/>
          <w:left w:w="28" w:type="dxa"/>
          <w:bottom w:w="28" w:type="dxa"/>
          <w:right w:w="28" w:type="dxa"/>
        </w:tblCellMar>
      </w:tblPr>
      <w:tblGrid>
        <w:gridCol w:w="1592"/>
        <w:gridCol w:w="819"/>
        <w:gridCol w:w="822"/>
        <w:gridCol w:w="325"/>
        <w:gridCol w:w="1041"/>
        <w:gridCol w:w="115"/>
        <w:gridCol w:w="115"/>
        <w:gridCol w:w="115"/>
        <w:gridCol w:w="115"/>
        <w:gridCol w:w="325"/>
        <w:gridCol w:w="1041"/>
        <w:gridCol w:w="115"/>
        <w:gridCol w:w="109"/>
        <w:gridCol w:w="109"/>
        <w:gridCol w:w="109"/>
        <w:gridCol w:w="273"/>
        <w:gridCol w:w="1093"/>
        <w:gridCol w:w="110"/>
        <w:gridCol w:w="110"/>
        <w:gridCol w:w="110"/>
        <w:gridCol w:w="110"/>
        <w:gridCol w:w="273"/>
        <w:gridCol w:w="1093"/>
        <w:gridCol w:w="166"/>
      </w:tblGrid>
      <w:tr>
        <w:trPr/>
        <w:tc>
          <w:tcPr>
            <w:tcW w:w="1592"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594.4 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909.8 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1,891.9 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1,248.3 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1,011.6 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1,025.8 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1,848.1 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510.4 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860.8 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1,693.8 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2,249.4 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(735.8)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(971.3)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(1,521.2)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income, net:</w:t>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(755.0)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(1,565.0)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Income tax expense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attributable to Class A and Class B common stockholders</w:t>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per share attributable to common stockholders, basic and diluted</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(0.79)</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(4.96)</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Class A and Class B common shares outstanding, basic and diluted</w:t>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350,426,631 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333,864,579 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343,753,996 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317,245,844 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 income:</w:t>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unrealized losses on marketable securities</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Derivative adjustments:</w:t>
            </w:r>
          </w:p>
        </w:tc>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unrealized loss on hedging derivatives</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Reclassification for derivative adjustments included in Net loss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(loss) income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(765.0)</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(1,580.2)</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pStyle w:val="TextBody"/>
        <w:spacing w:before="1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v:rect>
            </w:pict>
          </mc:Fallback>
        </mc:AlternateConten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475"/>
        <w:gridCol w:w="2156"/>
        <w:gridCol w:w="2162"/>
        <w:gridCol w:w="258"/>
        <w:gridCol w:w="1111"/>
        <w:gridCol w:w="124"/>
        <w:gridCol w:w="124"/>
        <w:gridCol w:w="124"/>
        <w:gridCol w:w="124"/>
        <w:gridCol w:w="258"/>
        <w:gridCol w:w="1111"/>
        <w:gridCol w:w="178"/>
      </w:tblGrid>
      <w:tr>
        <w:trPr/>
        <w:tc>
          <w:tcPr>
            <w:tcW w:w="2475"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Nine Months Ended March 31,</w:t>
            </w:r>
          </w:p>
        </w:tc>
      </w:tr>
      <w:tr>
        <w:trPr/>
        <w:tc>
          <w:tcPr>
            <w:tcW w:w="6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loss to net cash used in operating activities:</w:t>
            </w:r>
          </w:p>
        </w:tc>
        <w:tc>
          <w:tcPr>
            <w:tcW w:w="14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241.9 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premium from marketable securities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4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435.1 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(473.3)</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(40.5)</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(260.4)</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Customer deposits and deferred revenue</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(49.1)</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(332.2)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(1,677.8)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Maturities of marketable securities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of marketable securities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(267.7)</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Business combinations, net of cash acquired</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acquisitions, net of cash acquired</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sales of net assets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public offering, net of issuance costs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1,218.8 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purchase plan withholdings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exercise of stock options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1,309.0 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(169.4)</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1,257.6 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1,135.7 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966.2 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493"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v:rect>
            </w:pict>
          </mc:Fallback>
        </mc:AlternateConten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spacing w:before="0" w:after="0"/>
        <w:jc w:val="center"/>
        <w:rPr/>
      </w:pPr>
      <w:r>
        <w:rPr/>
      </w:r>
    </w:p>
    <w:tbl>
      <w:tblPr>
        <w:tblW w:w="8574" w:type="dxa"/>
        <w:jc w:val="left"/>
        <w:tblInd w:w="0" w:type="dxa"/>
        <w:tblCellMar>
          <w:top w:w="28" w:type="dxa"/>
          <w:left w:w="28" w:type="dxa"/>
          <w:bottom w:w="28" w:type="dxa"/>
          <w:right w:w="28" w:type="dxa"/>
        </w:tblCellMar>
      </w:tblPr>
      <w:tblGrid>
        <w:gridCol w:w="2348"/>
        <w:gridCol w:w="2064"/>
        <w:gridCol w:w="2068"/>
        <w:gridCol w:w="226"/>
        <w:gridCol w:w="466"/>
        <w:gridCol w:w="109"/>
        <w:gridCol w:w="109"/>
        <w:gridCol w:w="109"/>
        <w:gridCol w:w="109"/>
        <w:gridCol w:w="226"/>
        <w:gridCol w:w="586"/>
        <w:gridCol w:w="154"/>
      </w:tblGrid>
      <w:tr>
        <w:trPr/>
        <w:tc>
          <w:tcPr>
            <w:tcW w:w="2348"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capitalized for software development costs</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v:rect>
            </w:pict>
          </mc:Fallback>
        </mc:AlternateConten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STOCKHOLDERS’ EQUITY (DEFICIT)</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tbl>
      <w:tblPr>
        <w:tblW w:w="11085" w:type="dxa"/>
        <w:jc w:val="center"/>
        <w:tblInd w:w="0" w:type="dxa"/>
        <w:tblCellMar>
          <w:top w:w="28" w:type="dxa"/>
          <w:left w:w="28" w:type="dxa"/>
          <w:bottom w:w="28" w:type="dxa"/>
          <w:right w:w="28" w:type="dxa"/>
        </w:tblCellMar>
      </w:tblPr>
      <w:tblGrid>
        <w:gridCol w:w="604"/>
        <w:gridCol w:w="530"/>
        <w:gridCol w:w="532"/>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278"/>
        <w:gridCol w:w="1092"/>
        <w:gridCol w:w="191"/>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Equity (Deficit)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6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4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6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2021</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(1,698.2)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2,368.9 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138.9 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2022</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(2,455.3)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1,753.0 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2022</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344.6 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(4,414.0)</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2023</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354.2 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(4,690.0)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(127.0)</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920" w:type="dxa"/>
        <w:jc w:val="center"/>
        <w:tblInd w:w="0" w:type="dxa"/>
        <w:tblCellMar>
          <w:top w:w="28" w:type="dxa"/>
          <w:left w:w="28" w:type="dxa"/>
          <w:bottom w:w="28" w:type="dxa"/>
          <w:right w:w="28" w:type="dxa"/>
        </w:tblCellMar>
      </w:tblPr>
      <w:tblGrid>
        <w:gridCol w:w="917"/>
        <w:gridCol w:w="291"/>
        <w:gridCol w:w="293"/>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278"/>
        <w:gridCol w:w="1092"/>
        <w:gridCol w:w="191"/>
      </w:tblGrid>
      <w:tr>
        <w:trPr/>
        <w:tc>
          <w:tcPr>
            <w:tcW w:w="91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Equity (Deficit)</w:t>
            </w:r>
          </w:p>
        </w:tc>
      </w:tr>
      <w:tr>
        <w:trPr/>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6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4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6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2021</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300.1 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(883.0)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1,754.1 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pursuant to public offering, net of issuance costs</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1,218.7 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(2,455.3)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1,753.0 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2022</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338.3 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(3,710.6)</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592.9 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403.9 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Cumulative effect of adopting ASU 2020-06</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(119.5)</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2023</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354.2 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(4,690.0)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(127.0)</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v:rect>
            </w:pict>
          </mc:Fallback>
        </mc:AlternateConten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spacing w:lineRule="auto" w:line="417" w:before="0" w:after="0"/>
        <w:rPr>
          <w:rFonts w:ascii="Roboto;sans-serif" w:hAnsi="Roboto;sans-serif"/>
          <w:b/>
          <w:i/>
          <w:color w:val="000000"/>
          <w:sz w:val="18"/>
        </w:rPr>
      </w:pPr>
      <w:r>
        <w:rPr>
          <w:rFonts w:ascii="Roboto;sans-serif" w:hAnsi="Roboto;sans-serif"/>
          <w:b/>
          <w:i/>
          <w:color w:val="000000"/>
          <w:sz w:val="18"/>
        </w:rPr>
        <w:t>Description and Organization</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Interactive, Inc. (“Peloton” or the “Company”) is the largest interactive fitness platform in the world with a loyal community of Members, which we define as any individual who has a Peloton account through a paid Connected Fitness Subscription (“All-Access Membership”) or a paid Peloton App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2022,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2022 (the "Form 10-K"). However, the Company believes that the disclosures provided herein are adequate to prevent the information presented from being misleading. </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The condensed consolidated financial statements include the accounts of the Company and its wholly owned subsidiaries. All significant intercompany balances and transactions have been eliminated in consolidation.</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nine months ended March 31, 2023 are not necessarily indicative of the results to be expected for any subsequent quarter, the fiscal year ending June 30, 2023, or any other period.</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Certain immaterial amounts from the prior year have been reclassified to conform with current-year presentation.</w:t>
      </w:r>
    </w:p>
    <w:p>
      <w:pPr>
        <w:pStyle w:val="TextBody"/>
        <w:spacing w:before="0" w:after="0"/>
        <w:rPr/>
      </w:pPr>
      <w:r>
        <w:rPr/>
      </w:r>
    </w:p>
    <w:p>
      <w:pPr>
        <w:pStyle w:val="TextBody"/>
        <w:spacing w:lineRule="auto" w:line="288" w:before="0" w:after="0"/>
        <w:jc w:val="both"/>
        <w:rPr/>
      </w:pPr>
      <w:r>
        <w:rPr>
          <w:rFonts w:ascii="Roboto;sans-serif" w:hAnsi="Roboto;sans-serif"/>
          <w:b w:val="false"/>
          <w:color w:val="000000"/>
          <w:sz w:val="18"/>
        </w:rPr>
        <w:t xml:space="preserve">Except as described elsewhere in </w:t>
      </w:r>
      <w:r>
        <w:rPr>
          <w:rFonts w:ascii="Roboto;sans-serif" w:hAnsi="Roboto;sans-serif"/>
          <w:b w:val="false"/>
          <w:i/>
          <w:color w:val="000000"/>
          <w:sz w:val="18"/>
        </w:rPr>
        <w:t>Note 2 - Summary of Significant Accounting Policies</w:t>
      </w:r>
      <w:r>
        <w:rPr>
          <w:color w:val="000000"/>
        </w:rPr>
        <w:t xml:space="preserve"> </w:t>
      </w:r>
      <w:r>
        <w:rPr>
          <w:rFonts w:ascii="Roboto;sans-serif" w:hAnsi="Roboto;sans-serif"/>
          <w:b w:val="false"/>
          <w:color w:val="000000"/>
          <w:sz w:val="18"/>
        </w:rPr>
        <w:t xml:space="preserve">under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there have been no material changes to the Company’s significant accounting policies as described in the Form 10-K.</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v:rect>
            </w:pict>
          </mc:Fallback>
        </mc:AlternateContent>
      </w:r>
    </w:p>
    <w:p>
      <w:pPr>
        <w:pStyle w:val="TextBody"/>
        <w:spacing w:before="0" w:after="0"/>
        <w:jc w:val="center"/>
        <w:rPr/>
      </w:pPr>
      <w:r>
        <w:rPr/>
      </w:r>
    </w:p>
    <w:p>
      <w:pPr>
        <w:pStyle w:val="TextBody"/>
        <w:spacing w:lineRule="auto" w:line="288" w:before="0" w:after="240"/>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content costs for past use reserve,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transaction price estimates, the fair values of assets acquired and liabilities assumed in business combinations and asset acquisitions, future restructuring charges, and commitments and contingencies. Actual results may differ from these estimates.</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Recently Issued Accounting Pronouncements</w:t>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Recently Adopted</w:t>
      </w:r>
    </w:p>
    <w:p>
      <w:pPr>
        <w:pStyle w:val="TextBody"/>
        <w:spacing w:before="0" w:after="0"/>
        <w:jc w:val="both"/>
        <w:rPr/>
      </w:pPr>
      <w:r>
        <w:rPr/>
      </w:r>
    </w:p>
    <w:p>
      <w:pPr>
        <w:pStyle w:val="TextBody"/>
        <w:spacing w:lineRule="auto" w:line="288" w:before="0" w:after="240"/>
        <w:jc w:val="both"/>
        <w:rPr>
          <w:rFonts w:ascii="Roboto;sans-serif" w:hAnsi="Roboto;sans-serif"/>
          <w:b w:val="false"/>
          <w:i/>
          <w:color w:val="000000"/>
          <w:sz w:val="18"/>
          <w:u w:val="single"/>
        </w:rPr>
      </w:pPr>
      <w:r>
        <w:rPr>
          <w:rFonts w:ascii="Roboto;sans-serif" w:hAnsi="Roboto;sans-serif"/>
          <w:b w:val="false"/>
          <w:i/>
          <w:color w:val="000000"/>
          <w:sz w:val="18"/>
          <w:u w:val="single"/>
        </w:rPr>
        <w:t>ASU 2020-06</w:t>
      </w:r>
    </w:p>
    <w:p>
      <w:pPr>
        <w:pStyle w:val="TextBody"/>
        <w:spacing w:lineRule="auto" w:line="288" w:before="0" w:after="0"/>
        <w:jc w:val="both"/>
        <w:rPr/>
      </w:pPr>
      <w:r>
        <w:rPr>
          <w:rFonts w:ascii="Roboto;sans-serif" w:hAnsi="Roboto;sans-serif"/>
          <w:b w:val="false"/>
          <w:color w:val="000000"/>
          <w:sz w:val="18"/>
        </w:rPr>
        <w:t xml:space="preserve">In August 2020, the FASB issued ASU 2020-06, </w:t>
      </w:r>
      <w:r>
        <w:rPr>
          <w:rFonts w:ascii="Roboto;sans-serif" w:hAnsi="Roboto;sans-serif"/>
          <w:b w:val="false"/>
          <w:i/>
          <w:color w:val="000000"/>
          <w:sz w:val="18"/>
        </w:rPr>
        <w:t>Debt - Debt with Conversion and Other Options (Subtopic 470-20) and Derivatives and Hedging- Contracts in Entity’s Own Equity (Subtopic 815-40): Accounting for Convertible Instruments and Contracts in an Entity’s Own Equity</w:t>
      </w:r>
      <w:r>
        <w:rPr>
          <w:rFonts w:ascii="Roboto;sans-serif" w:hAnsi="Roboto;sans-serif"/>
          <w:b w:val="false"/>
          <w:color w:val="000000"/>
          <w:sz w:val="18"/>
        </w:rPr>
        <w:t xml:space="preserve">. The guidance simplified the accounting for convertible instruments by reducing the number of accounting models for 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eliminated the treasury stock method to calculate diluted earnings per share for convertible instruments and requires the use of the if-converted method. ASU 2020-06 is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The Company adopted the standard, effective July 1, 2022, using the modified retrospective transition method. Adoption of the new standard resulted in a reduction to Additional paid-in capital of $160.1 million to remove the equity component separately recorded for the conversion features associated with the Notes (as defined in </w:t>
      </w:r>
      <w:r>
        <w:rPr>
          <w:rFonts w:ascii="Roboto;sans-serif" w:hAnsi="Roboto;sans-serif"/>
          <w:b w:val="false"/>
          <w:i/>
          <w:color w:val="000000"/>
          <w:sz w:val="18"/>
        </w:rPr>
        <w:t>Note 5 - Fair Value Measurements</w:t>
      </w:r>
      <w:r>
        <w:rPr>
          <w:rFonts w:ascii="Roboto;sans-serif" w:hAnsi="Roboto;sans-serif"/>
          <w:b w:val="false"/>
          <w:color w:val="000000"/>
          <w:sz w:val="18"/>
        </w:rPr>
        <w:t xml:space="preserve">), an increase of $119.6 million in the carrying value of its Notes to reflect the full principal amount of the Notes outstanding net of issuance costs, and a decrease to Accumulated deficit of $40.6 million. </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Not Yet Adopted</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2021-08</w:t>
      </w:r>
    </w:p>
    <w:p>
      <w:pPr>
        <w:pStyle w:val="TextBody"/>
        <w:spacing w:lineRule="auto" w:line="288" w:before="0" w:after="0"/>
        <w:jc w:val="both"/>
        <w:rPr/>
      </w:pPr>
      <w:r>
        <w:rPr>
          <w:rFonts w:ascii="Roboto;sans-serif" w:hAnsi="Roboto;sans-serif"/>
          <w:b w:val="false"/>
          <w:color w:val="000000"/>
          <w:sz w:val="18"/>
        </w:rPr>
        <w:t xml:space="preserve">In October 2021, the Financial Accounting Standards Board issued ASU 2021-08, </w:t>
      </w:r>
      <w:r>
        <w:rPr>
          <w:rFonts w:ascii="Roboto;sans-serif" w:hAnsi="Roboto;sans-serif"/>
          <w:b w:val="false"/>
          <w:i/>
          <w:color w:val="000000"/>
          <w:sz w:val="18"/>
        </w:rPr>
        <w:t>Business Combinations (Topic 805): Accounting for Contract Assets and Contract Liabilities from Contracts with Customers.</w:t>
      </w:r>
      <w:r>
        <w:rPr>
          <w:color w:val="000000"/>
        </w:rPr>
        <w:t xml:space="preserve"> </w:t>
      </w:r>
      <w:r>
        <w:rPr>
          <w:rFonts w:ascii="Roboto;sans-serif" w:hAnsi="Roboto;sans-serif"/>
          <w:b w:val="false"/>
          <w:color w:val="000000"/>
          <w:sz w:val="18"/>
        </w:rPr>
        <w:t xml:space="preserve">The guidance requires that an acquirer recognize and measure contract assets and liabilities acquired in a business combination in accordance with ASC 606, </w:t>
      </w:r>
      <w:r>
        <w:rPr>
          <w:rFonts w:ascii="Roboto;sans-serif" w:hAnsi="Roboto;sans-serif"/>
          <w:b w:val="false"/>
          <w:i/>
          <w:color w:val="000000"/>
          <w:sz w:val="18"/>
        </w:rPr>
        <w:t>Revenue from Contracts with Customers</w:t>
      </w:r>
      <w:r>
        <w:rPr>
          <w:rFonts w:ascii="Roboto;sans-serif" w:hAnsi="Roboto;sans-serif"/>
          <w:b w:val="false"/>
          <w:color w:val="000000"/>
          <w:sz w:val="18"/>
        </w:rPr>
        <w:t>. This standard is effective for annual periods beginning after December 15, 2022, including interim periods therein, with early adoption permitted, and should be applied prospectively to acquisitions occurring on or after the effective date. The Company will continue to evaluate the impact of this guidance, which will depend on the contract assets and liabilities acquired in future business combinations.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Roboto;sans-serif" w:hAnsi="Roboto;sans-serif"/>
          <w:b/>
          <w:color w:val="000000"/>
          <w:sz w:val="18"/>
        </w:rPr>
      </w:pPr>
      <w:r>
        <w:rPr>
          <w:rFonts w:ascii="Roboto;sans-serif" w:hAnsi="Roboto;sans-serif"/>
          <w:b/>
          <w:color w:val="000000"/>
          <w:sz w:val="18"/>
        </w:rPr>
        <w:t>3. Revenue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primary source of revenue is from sales of its Connected Fitness Products and associated recurring Subscription revenues.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determines revenue recognition through the following steps:</w:t>
      </w:r>
    </w:p>
    <w:p>
      <w:pPr>
        <w:pStyle w:val="TextBody"/>
        <w:spacing w:before="0" w:after="0"/>
        <w:jc w:val="both"/>
        <w:rPr/>
      </w:pPr>
      <w:r>
        <w:rPr/>
      </w:r>
    </w:p>
    <w:p>
      <w:pPr>
        <w:pStyle w:val="TextBody"/>
        <w:spacing w:lineRule="auto" w:line="288" w:before="0" w:after="60"/>
        <w:ind w:left="0" w:right="0" w:hanging="360"/>
        <w:rPr/>
      </w:pPr>
      <w:r>
        <w:rPr>
          <w:color w:val="000000"/>
        </w:rPr>
        <w:t>•</w:t>
      </w:r>
      <w:r>
        <w:rPr>
          <w:rFonts w:ascii="Roboto;sans-serif" w:hAnsi="Roboto;sans-serif"/>
          <w:b w:val="false"/>
          <w:color w:val="000000"/>
          <w:sz w:val="18"/>
        </w:rPr>
        <w:t>Identification of the contract, or contracts, with a customer;</w:t>
      </w:r>
    </w:p>
    <w:p>
      <w:pPr>
        <w:pStyle w:val="TextBody"/>
        <w:spacing w:lineRule="auto" w:line="288" w:before="0" w:after="60"/>
        <w:ind w:left="0" w:right="0" w:hanging="360"/>
        <w:rPr/>
      </w:pPr>
      <w:r>
        <w:rPr>
          <w:color w:val="000000"/>
        </w:rPr>
        <w:t>•</w:t>
      </w:r>
      <w:r>
        <w:rPr>
          <w:rFonts w:ascii="Roboto;sans-serif" w:hAnsi="Roboto;sans-serif"/>
          <w:b w:val="false"/>
          <w:color w:val="000000"/>
          <w:sz w:val="18"/>
        </w:rPr>
        <w:t>Identification of the performance obligations in the contract;</w:t>
      </w:r>
    </w:p>
    <w:p>
      <w:pPr>
        <w:pStyle w:val="TextBody"/>
        <w:spacing w:lineRule="auto" w:line="288" w:before="0" w:after="60"/>
        <w:ind w:left="0" w:right="0" w:hanging="360"/>
        <w:rPr/>
      </w:pPr>
      <w:r>
        <w:rPr>
          <w:color w:val="000000"/>
        </w:rPr>
        <w:t>•</w:t>
      </w:r>
      <w:r>
        <w:rPr>
          <w:rFonts w:ascii="Roboto;sans-serif" w:hAnsi="Roboto;sans-serif"/>
          <w:b w:val="false"/>
          <w:color w:val="000000"/>
          <w:sz w:val="18"/>
        </w:rPr>
        <w:t>Determination of the transaction price;</w:t>
      </w:r>
    </w:p>
    <w:p>
      <w:pPr>
        <w:pStyle w:val="TextBody"/>
        <w:spacing w:lineRule="auto" w:line="288" w:before="0" w:after="60"/>
        <w:ind w:left="0" w:right="0" w:hanging="360"/>
        <w:rPr/>
      </w:pPr>
      <w:r>
        <w:rPr>
          <w:color w:val="000000"/>
        </w:rPr>
        <w:t>•</w:t>
      </w:r>
      <w:r>
        <w:rPr>
          <w:rFonts w:ascii="Roboto;sans-serif" w:hAnsi="Roboto;sans-serif"/>
          <w:b w:val="false"/>
          <w:color w:val="000000"/>
          <w:sz w:val="18"/>
        </w:rPr>
        <w:t>Allocation of the transaction price to the performance obligations in the contract; and</w:t>
      </w:r>
    </w:p>
    <w:p>
      <w:pPr>
        <w:pStyle w:val="TextBody"/>
        <w:spacing w:lineRule="auto" w:line="288" w:before="0" w:after="0"/>
        <w:ind w:left="0" w:right="0" w:hanging="360"/>
        <w:rPr/>
      </w:pPr>
      <w:r>
        <w:rPr>
          <w:color w:val="000000"/>
        </w:rPr>
        <w:t>•</w:t>
      </w:r>
      <w:r>
        <w:rPr>
          <w:rFonts w:ascii="Roboto;sans-serif" w:hAnsi="Roboto;sans-serif"/>
          <w:b w:val="false"/>
          <w:color w:val="000000"/>
          <w:sz w:val="18"/>
        </w:rPr>
        <w:t>Recognition of revenue when, or as, the Company satisfies a performance obligation.</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v:rect>
            </w:pict>
          </mc:Fallback>
        </mc:AlternateContent>
      </w:r>
    </w:p>
    <w:p>
      <w:pPr>
        <w:pStyle w:val="TextBody"/>
        <w:spacing w:before="0" w:after="0"/>
        <w:jc w:val="center"/>
        <w:rPr/>
      </w:pPr>
      <w:r>
        <w:rPr/>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applies the practical expedient as per ASC 606-10-50-14 and does not disclose information related to remaining performance obligations due to their original expected terms being one year or less. </w:t>
      </w:r>
    </w:p>
    <w:p>
      <w:pPr>
        <w:pStyle w:val="TextBody"/>
        <w:spacing w:before="0" w:after="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Connected Fitness Products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Subscription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subscriptions provide unlimited access to content in its library of live and on-demand fitness classes. The Company’s subscriptions are primarily offered on a month-to-month basis.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tax collected from customers and remitted to governmental authorities is not included in revenue and is reflected as a liability on the Company’s Condensed Consolidated Balance Sheets.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Standard Product Warranty</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offers a standard product warranty that its Connected Fitness Products will operate under normal, non-commercial use for a period of one year covering the touchscreen and most original Bike, Bike+, Tread, Tread+, Row, and Guide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pStyle w:val="TextBody"/>
        <w:spacing w:lineRule="auto" w:line="288" w:before="0" w:after="240"/>
        <w:jc w:val="both"/>
        <w:rPr>
          <w:rFonts w:ascii="Roboto;sans-serif" w:hAnsi="Roboto;sans-serif"/>
          <w:b w:val="false"/>
          <w:color w:val="000000"/>
          <w:sz w:val="18"/>
          <w:highlight w:val="white"/>
        </w:rPr>
      </w:pPr>
      <w:r>
        <w:rPr>
          <w:rFonts w:ascii="Roboto;sans-serif" w:hAnsi="Roboto;sans-serif"/>
          <w:b w:val="false"/>
          <w:color w:val="000000"/>
          <w:sz w:val="18"/>
          <w:highlight w:val="white"/>
        </w:rPr>
        <w:t>Activity related to the Company’s accrual for our estimated future product warranty obligation was as follows:</w:t>
      </w:r>
    </w:p>
    <w:tbl>
      <w:tblPr>
        <w:tblW w:w="9712" w:type="dxa"/>
        <w:jc w:val="left"/>
        <w:tblInd w:w="0" w:type="dxa"/>
        <w:tblCellMar>
          <w:top w:w="28" w:type="dxa"/>
          <w:left w:w="28" w:type="dxa"/>
          <w:bottom w:w="28" w:type="dxa"/>
          <w:right w:w="28" w:type="dxa"/>
        </w:tblCellMar>
      </w:tblPr>
      <w:tblGrid>
        <w:gridCol w:w="1048"/>
        <w:gridCol w:w="922"/>
        <w:gridCol w:w="925"/>
        <w:gridCol w:w="342"/>
        <w:gridCol w:w="887"/>
        <w:gridCol w:w="165"/>
        <w:gridCol w:w="165"/>
        <w:gridCol w:w="165"/>
        <w:gridCol w:w="165"/>
        <w:gridCol w:w="342"/>
        <w:gridCol w:w="887"/>
        <w:gridCol w:w="165"/>
        <w:gridCol w:w="109"/>
        <w:gridCol w:w="109"/>
        <w:gridCol w:w="109"/>
        <w:gridCol w:w="327"/>
        <w:gridCol w:w="849"/>
        <w:gridCol w:w="158"/>
        <w:gridCol w:w="158"/>
        <w:gridCol w:w="158"/>
        <w:gridCol w:w="158"/>
        <w:gridCol w:w="327"/>
        <w:gridCol w:w="849"/>
        <w:gridCol w:w="223"/>
      </w:tblGrid>
      <w:tr>
        <w:trPr/>
        <w:tc>
          <w:tcPr>
            <w:tcW w:w="104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(45.4)</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ranging from 12 to 36 months.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v:rect>
            </w:pict>
          </mc:Fallback>
        </mc:AlternateContent>
      </w:r>
    </w:p>
    <w:p>
      <w:pPr>
        <w:pStyle w:val="TextBody"/>
        <w:spacing w:before="0" w:after="0"/>
        <w:jc w:val="center"/>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spacing w:lineRule="auto" w:line="288" w:before="0" w:after="0"/>
        <w:jc w:val="both"/>
        <w:rPr/>
      </w:pPr>
      <w:r>
        <w:rPr>
          <w:rFonts w:ascii="Roboto;sans-serif" w:hAnsi="Roboto;sans-serif"/>
          <w:b w:val="false"/>
          <w:color w:val="000000"/>
          <w:sz w:val="18"/>
        </w:rPr>
        <w:t xml:space="preserve">The Company’s revenue from contracts with customers disaggregated by major product lines, excluding sales-based taxes, are included in </w:t>
      </w:r>
      <w:r>
        <w:rPr>
          <w:rFonts w:ascii="Roboto;sans-serif" w:hAnsi="Roboto;sans-serif"/>
          <w:b w:val="false"/>
          <w:i/>
          <w:color w:val="000000"/>
          <w:sz w:val="18"/>
        </w:rPr>
        <w:t>Note 12 - Segment Information</w:t>
      </w:r>
      <w:r>
        <w:rPr>
          <w:rFonts w:ascii="Roboto;sans-serif" w:hAnsi="Roboto;sans-serif"/>
          <w:b w:val="false"/>
          <w:color w:val="000000"/>
          <w:sz w:val="18"/>
        </w:rPr>
        <w:t>.</w:t>
      </w:r>
    </w:p>
    <w:p>
      <w:pPr>
        <w:pStyle w:val="TextBody"/>
        <w:spacing w:before="0" w:after="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revenue disaggregated by geographic region, were as follows:</w:t>
      </w:r>
    </w:p>
    <w:tbl>
      <w:tblPr>
        <w:tblW w:w="8239" w:type="dxa"/>
        <w:jc w:val="left"/>
        <w:tblInd w:w="0" w:type="dxa"/>
        <w:tblCellMar>
          <w:top w:w="28" w:type="dxa"/>
          <w:left w:w="28" w:type="dxa"/>
          <w:bottom w:w="28" w:type="dxa"/>
          <w:right w:w="28" w:type="dxa"/>
        </w:tblCellMar>
      </w:tblPr>
      <w:tblGrid>
        <w:gridCol w:w="516"/>
        <w:gridCol w:w="453"/>
        <w:gridCol w:w="456"/>
        <w:gridCol w:w="308"/>
        <w:gridCol w:w="963"/>
        <w:gridCol w:w="148"/>
        <w:gridCol w:w="148"/>
        <w:gridCol w:w="148"/>
        <w:gridCol w:w="148"/>
        <w:gridCol w:w="308"/>
        <w:gridCol w:w="963"/>
        <w:gridCol w:w="148"/>
        <w:gridCol w:w="109"/>
        <w:gridCol w:w="109"/>
        <w:gridCol w:w="109"/>
        <w:gridCol w:w="257"/>
        <w:gridCol w:w="1010"/>
        <w:gridCol w:w="124"/>
        <w:gridCol w:w="124"/>
        <w:gridCol w:w="124"/>
        <w:gridCol w:w="124"/>
        <w:gridCol w:w="257"/>
        <w:gridCol w:w="1010"/>
        <w:gridCol w:w="175"/>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North America</w:t>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692.5 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873.2 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1,996.6 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2,637.0 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161.4 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2,158.1 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2,903.4 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6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During the three and nine months ended March 31, 2023, the Company’s revenue attributable to the United States was $666.8 million and $1,923.6 million, or 89% and 89% of total revenue, respectively. During the three and nine months ended March 31, 2022, the Company’s revenue attributable to the United States was $824.3 million and $2,503.2 million, or 85% and 86% of total revenue, respectively. </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Customer Deposits and Deferred Revenue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March 31, 2023 and June 30, 2022, customer deposits of $101.6 million and $109.2 million, respectively, and deferred revenue of $98.9 million and $91.9 million, respectively, were included in Deferred revenue and customer deposits on the Company’s Condensed Consolidated Balance Sheets.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nine months ended March 31, 2023 and 2022, the Company recognized revenue of $92.0 million and $68.2 million, respectively, that was included in the deferred revenue balance as of June 30, 2022 and 2021, respectively.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4. Restructuring</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the Company announced and began implementing a restructuring plan to realign the Company’s operational focus to support its multi-year growth, scale the business, and improve costs (the “Restructuring Plan”). The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completed by the end of fiscal 2024.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July 2022, August 2022 and October 2022, the Company took actions to update the Restructuring Plan. On July 12, 2022, the Company announced it is exiting all owned-manufacturing operations and expanding its current relationship with Taiwanese manufacturer Rexon Industrial Corp. Additionally, on August 12, 2022, the Company announced the decision to perform the following restructuring activities: (i) fully transitioning its North American Field Operations to third-party providers, including the significant reduction of its delivery workforce teams; (ii) eliminating a significant number of roles on the North America Member Support team and exiting its real-estate footprints in its Plano and Tempe locations; and (iii) reducing its retail showroom presence. On October 6, 2022, the Company announced approximately 500 global team member positions have been eliminated.</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result of the Restructuring Plan, the Company incurred the following charges, of which Asset write-downs and write-offs are included within Impairment expense in the Condensed Consolidated Statements of Operations and Comprehensive Loss. The remaining charges incurred due to the Restructuring Plan are included within Restructuring expense in the Condensed Consolidated Statements of Operations and Comprehensive Loss: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493"/>
        <w:gridCol w:w="1311"/>
        <w:gridCol w:w="1314"/>
        <w:gridCol w:w="705"/>
        <w:gridCol w:w="1831"/>
        <w:gridCol w:w="340"/>
        <w:gridCol w:w="109"/>
        <w:gridCol w:w="109"/>
        <w:gridCol w:w="109"/>
        <w:gridCol w:w="599"/>
        <w:gridCol w:w="1873"/>
        <w:gridCol w:w="412"/>
      </w:tblGrid>
      <w:tr>
        <w:trPr/>
        <w:tc>
          <w:tcPr>
            <w:tcW w:w="1493"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4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 2023</w:t>
            </w:r>
          </w:p>
        </w:tc>
      </w:tr>
      <w:tr>
        <w:trPr/>
        <w:tc>
          <w:tcPr>
            <w:tcW w:w="41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Cash restructuring charges:</w:t>
            </w:r>
          </w:p>
        </w:tc>
        <w:tc>
          <w:tcPr>
            <w:tcW w:w="608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Severance and other personnel costs</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Professional fees and other related charges</w:t>
            </w:r>
          </w:p>
        </w:tc>
        <w:tc>
          <w:tcPr>
            <w:tcW w:w="2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charges</w:t>
            </w:r>
          </w:p>
        </w:tc>
        <w:tc>
          <w:tcPr>
            <w:tcW w:w="2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84.4 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Non-cash charges:</w:t>
            </w:r>
          </w:p>
        </w:tc>
        <w:tc>
          <w:tcPr>
            <w:tcW w:w="2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write-downs and write-offs</w:t>
            </w:r>
          </w:p>
        </w:tc>
        <w:tc>
          <w:tcPr>
            <w:tcW w:w="28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108.6</w:t>
            </w:r>
          </w:p>
        </w:tc>
      </w:tr>
      <w:tr>
        <w:trPr/>
        <w:tc>
          <w:tcPr>
            <w:tcW w:w="4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28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83.5</w:t>
            </w:r>
          </w:p>
        </w:tc>
      </w:tr>
      <w:tr>
        <w:trPr/>
        <w:tc>
          <w:tcPr>
            <w:tcW w:w="41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Write-offs of inventory related to restructuring activities </w:t>
            </w:r>
            <w:r>
              <w:rPr>
                <w:rFonts w:ascii="Roboto;sans-serif" w:hAnsi="Roboto;sans-serif"/>
                <w:b w:val="false"/>
                <w:color w:val="000000"/>
                <w:sz w:val="12"/>
              </w:rPr>
              <w:t>(1)</w:t>
            </w:r>
          </w:p>
        </w:tc>
        <w:tc>
          <w:tcPr>
            <w:tcW w:w="2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w:t>
            </w:r>
          </w:p>
        </w:tc>
      </w:tr>
      <w:tr>
        <w:trPr/>
        <w:tc>
          <w:tcPr>
            <w:tcW w:w="4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charges</w:t>
            </w:r>
          </w:p>
        </w:tc>
        <w:tc>
          <w:tcPr>
            <w:tcW w:w="2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195.8 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280.2 </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Roboto;sans-serif" w:hAnsi="Roboto;sans-serif"/>
          <w:b w:val="false"/>
          <w:color w:val="000000"/>
          <w:sz w:val="12"/>
        </w:rPr>
      </w:pPr>
      <w:r>
        <w:rPr>
          <w:rFonts w:ascii="Roboto;sans-serif" w:hAnsi="Roboto;sans-serif"/>
          <w:b w:val="false"/>
          <w:color w:val="000000"/>
          <w:sz w:val="12"/>
        </w:rPr>
        <w:t>(1) Write-offs of inventory are included within Cost of revenue: Connected Fitness Products in the Condensed Consolidated Statement of Operations and Comprehensive Loss.</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the Company tested certain long-lived assets (asset groups) for recoverability by comparing the carrying values of the asset groups to estimates of their future undiscounted cash flows, which were generally the liquidation value, or for operating lease right-of-use assets, income from a sublease arrangement. Based on the results of the recoverability tests, the Company determined that during the three and nine months ended March 31, 2023,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present a roll-forward of cash restructuring-related liabilities, which is included within Accounts payable and accrued expenses in the Condensed Consolidated Balance Sheets, as follows:</w:t>
      </w:r>
    </w:p>
    <w:tbl>
      <w:tblPr>
        <w:tblW w:w="10205" w:type="dxa"/>
        <w:jc w:val="left"/>
        <w:tblInd w:w="0" w:type="dxa"/>
        <w:tblCellMar>
          <w:top w:w="28" w:type="dxa"/>
          <w:left w:w="28" w:type="dxa"/>
          <w:bottom w:w="28" w:type="dxa"/>
          <w:right w:w="28" w:type="dxa"/>
        </w:tblCellMar>
      </w:tblPr>
      <w:tblGrid>
        <w:gridCol w:w="862"/>
        <w:gridCol w:w="756"/>
        <w:gridCol w:w="760"/>
        <w:gridCol w:w="701"/>
        <w:gridCol w:w="1821"/>
        <w:gridCol w:w="339"/>
        <w:gridCol w:w="109"/>
        <w:gridCol w:w="109"/>
        <w:gridCol w:w="109"/>
        <w:gridCol w:w="942"/>
        <w:gridCol w:w="1941"/>
        <w:gridCol w:w="457"/>
        <w:gridCol w:w="109"/>
        <w:gridCol w:w="109"/>
        <w:gridCol w:w="109"/>
        <w:gridCol w:w="226"/>
        <w:gridCol w:w="586"/>
        <w:gridCol w:w="160"/>
      </w:tblGrid>
      <w:tr>
        <w:trPr/>
        <w:tc>
          <w:tcPr>
            <w:tcW w:w="862"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Professional fees and other related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3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2022</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4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4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4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2023</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829"/>
        <w:gridCol w:w="683"/>
        <w:gridCol w:w="685"/>
        <w:gridCol w:w="722"/>
        <w:gridCol w:w="1875"/>
        <w:gridCol w:w="349"/>
        <w:gridCol w:w="109"/>
        <w:gridCol w:w="109"/>
        <w:gridCol w:w="109"/>
        <w:gridCol w:w="1048"/>
        <w:gridCol w:w="1884"/>
        <w:gridCol w:w="506"/>
        <w:gridCol w:w="109"/>
        <w:gridCol w:w="109"/>
        <w:gridCol w:w="109"/>
        <w:gridCol w:w="226"/>
        <w:gridCol w:w="586"/>
        <w:gridCol w:w="158"/>
      </w:tblGrid>
      <w:tr>
        <w:trPr/>
        <w:tc>
          <w:tcPr>
            <w:tcW w:w="829"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Professional fees and other related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19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2022</w:t>
            </w:r>
          </w:p>
        </w:tc>
        <w:tc>
          <w:tcPr>
            <w:tcW w:w="7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8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16.4 </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w:t>
            </w:r>
          </w:p>
        </w:tc>
        <w:tc>
          <w:tcPr>
            <w:tcW w:w="5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2023</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to the above charges, the Company incurred approximately $1.9 million of capital expenditures related to Peloton Output Park during the nine months ended March 31, 2023.</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estimates that it will incur additional cash charges of approximately $20 million, primarily composed of severance and other exit costs, in fiscal year 2023 and beyond. Additionally, the Company expects to recognize additional non-cash charges of approximately $35 million, primarily composed of asset impairment and stock-based compensation charges in connection with the Restructuring Plan.</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v:rect>
            </w:pict>
          </mc:Fallback>
        </mc:AlternateContent>
      </w:r>
    </w:p>
    <w:p>
      <w:pPr>
        <w:pStyle w:val="TextBody"/>
        <w:spacing w:before="0" w:after="0"/>
        <w:jc w:val="center"/>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5. Fair Value Measurements</w:t>
      </w:r>
    </w:p>
    <w:p>
      <w:pPr>
        <w:pStyle w:val="TextBody"/>
        <w:spacing w:before="0" w:after="0"/>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present the estimated fair values of the Company’s financial instruments that are not recorded at fair value on the Condensed Consolidated Balance Sheets:</w:t>
      </w:r>
    </w:p>
    <w:tbl>
      <w:tblPr>
        <w:tblW w:w="7441" w:type="dxa"/>
        <w:jc w:val="left"/>
        <w:tblInd w:w="0" w:type="dxa"/>
        <w:tblCellMar>
          <w:top w:w="28" w:type="dxa"/>
          <w:left w:w="28" w:type="dxa"/>
          <w:bottom w:w="28" w:type="dxa"/>
          <w:right w:w="28" w:type="dxa"/>
        </w:tblCellMar>
      </w:tblPr>
      <w:tblGrid>
        <w:gridCol w:w="971"/>
        <w:gridCol w:w="855"/>
        <w:gridCol w:w="859"/>
        <w:gridCol w:w="251"/>
        <w:gridCol w:w="452"/>
        <w:gridCol w:w="121"/>
        <w:gridCol w:w="109"/>
        <w:gridCol w:w="109"/>
        <w:gridCol w:w="109"/>
        <w:gridCol w:w="226"/>
        <w:gridCol w:w="706"/>
        <w:gridCol w:w="109"/>
        <w:gridCol w:w="109"/>
        <w:gridCol w:w="109"/>
        <w:gridCol w:w="109"/>
        <w:gridCol w:w="251"/>
        <w:gridCol w:w="452"/>
        <w:gridCol w:w="121"/>
        <w:gridCol w:w="109"/>
        <w:gridCol w:w="109"/>
        <w:gridCol w:w="109"/>
        <w:gridCol w:w="226"/>
        <w:gridCol w:w="706"/>
        <w:gridCol w:w="154"/>
      </w:tblGrid>
      <w:tr>
        <w:trPr/>
        <w:tc>
          <w:tcPr>
            <w:tcW w:w="971"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As of March 31, 2023</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441" w:type="dxa"/>
        <w:jc w:val="left"/>
        <w:tblInd w:w="0" w:type="dxa"/>
        <w:tblCellMar>
          <w:top w:w="28" w:type="dxa"/>
          <w:left w:w="28" w:type="dxa"/>
          <w:bottom w:w="28" w:type="dxa"/>
          <w:right w:w="28" w:type="dxa"/>
        </w:tblCellMar>
      </w:tblPr>
      <w:tblGrid>
        <w:gridCol w:w="971"/>
        <w:gridCol w:w="855"/>
        <w:gridCol w:w="859"/>
        <w:gridCol w:w="251"/>
        <w:gridCol w:w="452"/>
        <w:gridCol w:w="121"/>
        <w:gridCol w:w="109"/>
        <w:gridCol w:w="109"/>
        <w:gridCol w:w="109"/>
        <w:gridCol w:w="226"/>
        <w:gridCol w:w="706"/>
        <w:gridCol w:w="109"/>
        <w:gridCol w:w="109"/>
        <w:gridCol w:w="109"/>
        <w:gridCol w:w="109"/>
        <w:gridCol w:w="251"/>
        <w:gridCol w:w="452"/>
        <w:gridCol w:w="121"/>
        <w:gridCol w:w="109"/>
        <w:gridCol w:w="109"/>
        <w:gridCol w:w="109"/>
        <w:gridCol w:w="226"/>
        <w:gridCol w:w="706"/>
        <w:gridCol w:w="154"/>
      </w:tblGrid>
      <w:tr>
        <w:trPr/>
        <w:tc>
          <w:tcPr>
            <w:tcW w:w="971"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As of June 30, 2022</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fair value of the 0% Convertible Senior Notes due February 15, 2026 (the “Notes”) is determined based on the closing price on the last trading day of the reporting period.</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carrying value of the Term Loan (as defined below) approximates the fair value of the Term Loan as of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Roboto;sans-serif" w:hAnsi="Roboto;sans-serif"/>
          <w:b/>
          <w:color w:val="000000"/>
          <w:sz w:val="18"/>
        </w:rPr>
      </w:pPr>
      <w:r>
        <w:rPr>
          <w:rFonts w:ascii="Roboto;sans-serif" w:hAnsi="Roboto;sans-serif"/>
          <w:b/>
          <w:color w:val="000000"/>
          <w:sz w:val="18"/>
        </w:rPr>
        <w:t>6. Inventories</w:t>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Inventories were as follows:</w:t>
      </w:r>
    </w:p>
    <w:tbl>
      <w:tblPr>
        <w:tblW w:w="5515" w:type="dxa"/>
        <w:jc w:val="left"/>
        <w:tblInd w:w="0" w:type="dxa"/>
        <w:tblCellMar>
          <w:top w:w="28" w:type="dxa"/>
          <w:left w:w="28" w:type="dxa"/>
          <w:bottom w:w="28" w:type="dxa"/>
          <w:right w:w="28" w:type="dxa"/>
        </w:tblCellMar>
      </w:tblPr>
      <w:tblGrid>
        <w:gridCol w:w="732"/>
        <w:gridCol w:w="643"/>
        <w:gridCol w:w="650"/>
        <w:gridCol w:w="358"/>
        <w:gridCol w:w="1119"/>
        <w:gridCol w:w="172"/>
        <w:gridCol w:w="109"/>
        <w:gridCol w:w="109"/>
        <w:gridCol w:w="109"/>
        <w:gridCol w:w="270"/>
        <w:gridCol w:w="1060"/>
        <w:gridCol w:w="184"/>
      </w:tblGrid>
      <w:tr>
        <w:trPr/>
        <w:tc>
          <w:tcPr>
            <w:tcW w:w="732"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June 30, 2022</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Work-in-process</w:t>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1,283.7 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w:t>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842.2 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1,389.9 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(216.4)</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(285.4)</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1,104.5 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spacing w:lineRule="auto" w:line="288" w:before="0" w:after="240"/>
        <w:rPr>
          <w:rFonts w:ascii="Roboto;sans-serif" w:hAnsi="Roboto;sans-serif"/>
          <w:b w:val="false"/>
          <w:color w:val="000000"/>
          <w:sz w:val="14"/>
        </w:rPr>
      </w:pPr>
      <w:r>
        <w:rPr>
          <w:rFonts w:ascii="Roboto;sans-serif" w:hAnsi="Roboto;sans-serif"/>
          <w:b w:val="false"/>
          <w:color w:val="000000"/>
          <w:sz w:val="14"/>
        </w:rPr>
        <w:t>(1) Includes $21.1 million and $36.4 million of finished goods inventory in transit, products owned by the Company that have not yet been received at a Company distribution center, as of March 31, 2023 and June 30, 2022, respectively.</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 recorded inventory reserves as of March 31, 2023 primarily in the amounts of $99.4 million related to excess accessories and apparel inventory that the Company does not expect to sell above its current carrying value and $86.0 million primarily related to returned Connected Fitness Products that the Company does not expect to sell.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Roboto;sans-serif" w:hAnsi="Roboto;sans-serif"/>
          <w:b/>
          <w:color w:val="000000"/>
          <w:sz w:val="18"/>
        </w:rPr>
      </w:pPr>
      <w:r>
        <w:rPr>
          <w:rFonts w:ascii="Roboto;sans-serif" w:hAnsi="Roboto;sans-serif"/>
          <w:b/>
          <w:color w:val="000000"/>
          <w:sz w:val="18"/>
        </w:rPr>
        <w:t>7. Debt</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and the Indenture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Notes is initially convertible into 4.1800 shares of the Company’s Class A common stock, $0.000025 par value per share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v:rect>
            </w:pict>
          </mc:Fallback>
        </mc:AlternateContent>
      </w:r>
    </w:p>
    <w:p>
      <w:pPr>
        <w:pStyle w:val="TextBody"/>
        <w:spacing w:before="0" w:after="0"/>
        <w:jc w:val="center"/>
        <w:rPr/>
      </w:pPr>
      <w:r>
        <w:rPr/>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Notes will mature on February 15, 2026, unless earlier converted, redeemed, or repurchased. The Notes will be convertible at the option of the holders at certain times and upon the occurrence of certain events in the future.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spacing w:before="0" w:after="0"/>
        <w:jc w:val="both"/>
        <w:rPr/>
      </w:pPr>
      <w:r>
        <w:rPr/>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The net carrying amount of the liability component of the Notes was as follows:</w:t>
      </w:r>
    </w:p>
    <w:tbl>
      <w:tblPr>
        <w:tblW w:w="4814" w:type="dxa"/>
        <w:jc w:val="left"/>
        <w:tblInd w:w="0" w:type="dxa"/>
        <w:tblCellMar>
          <w:top w:w="28" w:type="dxa"/>
          <w:left w:w="28" w:type="dxa"/>
          <w:bottom w:w="28" w:type="dxa"/>
          <w:right w:w="28" w:type="dxa"/>
        </w:tblCellMar>
      </w:tblPr>
      <w:tblGrid>
        <w:gridCol w:w="1130"/>
        <w:gridCol w:w="993"/>
        <w:gridCol w:w="997"/>
        <w:gridCol w:w="302"/>
        <w:gridCol w:w="1186"/>
        <w:gridCol w:w="206"/>
      </w:tblGrid>
      <w:tr>
        <w:trPr/>
        <w:tc>
          <w:tcPr>
            <w:tcW w:w="113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March 31, 2023</w:t>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986.9 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Notes:</w:t>
      </w:r>
    </w:p>
    <w:tbl>
      <w:tblPr>
        <w:tblW w:w="10205" w:type="dxa"/>
        <w:jc w:val="left"/>
        <w:tblInd w:w="0" w:type="dxa"/>
        <w:tblCellMar>
          <w:top w:w="28" w:type="dxa"/>
          <w:left w:w="28" w:type="dxa"/>
          <w:bottom w:w="28" w:type="dxa"/>
          <w:right w:w="28" w:type="dxa"/>
        </w:tblCellMar>
      </w:tblPr>
      <w:tblGrid>
        <w:gridCol w:w="1330"/>
        <w:gridCol w:w="1166"/>
        <w:gridCol w:w="1172"/>
        <w:gridCol w:w="366"/>
        <w:gridCol w:w="756"/>
        <w:gridCol w:w="176"/>
        <w:gridCol w:w="176"/>
        <w:gridCol w:w="176"/>
        <w:gridCol w:w="176"/>
        <w:gridCol w:w="366"/>
        <w:gridCol w:w="756"/>
        <w:gridCol w:w="176"/>
        <w:gridCol w:w="109"/>
        <w:gridCol w:w="109"/>
        <w:gridCol w:w="109"/>
        <w:gridCol w:w="332"/>
        <w:gridCol w:w="686"/>
        <w:gridCol w:w="160"/>
        <w:gridCol w:w="160"/>
        <w:gridCol w:w="160"/>
        <w:gridCol w:w="160"/>
        <w:gridCol w:w="332"/>
        <w:gridCol w:w="862"/>
        <w:gridCol w:w="234"/>
      </w:tblGrid>
      <w:tr>
        <w:trPr/>
        <w:tc>
          <w:tcPr>
            <w:tcW w:w="1330"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3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Amortization of debt discount</w:t>
            </w:r>
            <w:r>
              <w:rPr>
                <w:rFonts w:ascii="Roboto;sans-serif" w:hAnsi="Roboto;sans-serif"/>
                <w:b w:val="false"/>
                <w:color w:val="000000"/>
                <w:sz w:val="12"/>
              </w:rPr>
              <w:t>(1)</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Interest capitalized</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Notes</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4"/>
        </w:rPr>
        <w:t xml:space="preserve">(1) The decreases in total interest expense during the three and nine months ended March 31, 2023 were due to the derecognition of the unamortized debt discount, partially offset by the increases in the amortization of issuance costs previously recognized in equity. These changes were the result of the Company’s adoption of ASU No. 2020-06, as of July 1, 2022, as described in </w:t>
      </w:r>
      <w:r>
        <w:rPr>
          <w:rFonts w:ascii="Roboto;sans-serif" w:hAnsi="Roboto;sans-serif"/>
          <w:b w:val="false"/>
          <w:i/>
          <w:color w:val="000000"/>
          <w:sz w:val="14"/>
        </w:rPr>
        <w:t>Note 2 - Summary of Significant Accounting Policies.</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Capped Call Transactions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Second Amended and Restated Credit Agreement</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2019, the Company entered into an amended and restated revolving credit agreement (the “Amended and Restated Credit Agreement”) as amended, modified or supplemented prior to entrance into the Second Amended and Restated Credit Agreement (as defined below). The Amended and Restated Credit Agreement provided for a $500.0 million secured revolving credit facility, including up to the lesser of $250.0 million and the aggregate unused amount of the facility for the issuance of letters of credit.</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Amended and Restated Credit Agreement also permitted the incurrence of indebtedness to permit the Capped Call Transactions and issuance of the Notes.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25, 2022, the Company entered into an Amendment and Restatement Agreement to the Second Amended and Restated Credit Agreement (and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pStyle w:val="TextBody"/>
        <w:spacing w:before="0" w:after="0"/>
        <w:jc w:val="both"/>
        <w:rPr/>
      </w:pPr>
      <w:r>
        <w:rPr/>
      </w:r>
    </w:p>
    <w:p>
      <w:pPr>
        <w:pStyle w:val="TextBody"/>
        <w:spacing w:lineRule="auto" w:line="288" w:before="0" w:after="0"/>
        <w:rPr/>
      </w:pPr>
      <w:r>
        <w:rPr>
          <w:rFonts w:ascii="Roboto;sans-serif" w:hAnsi="Roboto;sans-serif"/>
          <w:b w:val="false"/>
          <w:color w:val="000000"/>
          <w:sz w:val="18"/>
        </w:rPr>
        <w:t xml:space="preserve">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w:t>
      </w:r>
      <w:r>
        <w:rPr>
          <w:rFonts w:ascii="Roboto;sans-serif" w:hAnsi="Roboto;sans-serif"/>
          <w:b w:val="false"/>
          <w:color w:val="000000"/>
          <w:sz w:val="18"/>
          <w:highlight w:val="white"/>
        </w:rPr>
        <w:t>May 2, 202</w:t>
      </w:r>
      <w:r>
        <w:rPr>
          <w:rFonts w:ascii="Roboto;sans-serif" w:hAnsi="Roboto;sans-serif"/>
          <w:b w:val="false"/>
          <w:color w:val="000000"/>
          <w:sz w:val="18"/>
        </w:rPr>
        <w:t>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will be limited to the lesser of (a) $400.0 million and (b) an amount equal to the “Subscription” revenue of the Company and its subsidiaries for the most recently completed fiscal quarter of the Company. The Liquidity Covenant will still be replaced with a covenant to maintain a minimum secured debt to adjusted EBITDA ratio upon our meeting a specified adjusted EBITDA threshold.</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applicable to the Term Loan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v:rect>
            </w:pict>
          </mc:Fallback>
        </mc:AlternateContent>
      </w:r>
    </w:p>
    <w:p>
      <w:pPr>
        <w:pStyle w:val="TextBody"/>
        <w:spacing w:before="0" w:after="0"/>
        <w:jc w:val="center"/>
        <w:rPr/>
      </w:pPr>
      <w:r>
        <w:rPr/>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 xml:space="preserve">During the three and nine months ended March 31, 2023, the Company incurred total commitment fees of $0.4 million and $1.2 million, respectively, and $0.4 million and $1.0 million during the three and nine months ended </w:t>
      </w:r>
      <w:r>
        <w:rPr>
          <w:rFonts w:ascii="Roboto;sans-serif" w:hAnsi="Roboto;sans-serif"/>
          <w:b w:val="false"/>
          <w:color w:val="050505"/>
          <w:sz w:val="18"/>
        </w:rPr>
        <w:t>March 31, 2022, respectively,</w:t>
      </w:r>
      <w:r>
        <w:rPr>
          <w:color w:val="000000"/>
        </w:rPr>
        <w:t xml:space="preserve"> </w:t>
      </w:r>
      <w:r>
        <w:rPr>
          <w:rFonts w:ascii="Roboto;sans-serif" w:hAnsi="Roboto;sans-serif"/>
          <w:b w:val="false"/>
          <w:color w:val="000000"/>
          <w:sz w:val="18"/>
        </w:rPr>
        <w:t>which are included in Interest expense in the Condensed Consolidated Statements of Operations and Comprehensive Loss.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March 31, 2023, the Company had drawn the full amount of the Term Loan and the Company had not drawn on the Revolving Facility, and the Company had $744.4 million of total outstanding borrowings under the Second Amended and Restated Credit Agreement. </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In connection with the execution of the Second Amended and Restated Credit Agreement, the Company incurred debt issuance costs of $1.1 million, which are capitalized and presented as Other assets on the Company’s Condensed Consolidated Balance Sheets. These costs are being amortized to interest expense using the effective interest method over the term of the Second Amended and Restated Credit Agreement.</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As of March 31, 2023, we were fully undrawn under our Revolving Facility and as such did not have to test the financial covenants under the Second Amended and Restated Credit Agreement. The Company is required to pledge or otherwise restrict a portion of cash and cash equivalents as collateral for standby letters of credit. As of March 31, 2023, the Company had outstanding letters of credit totaling $79.3 million, which is classified as Restricted cash on the Condensed Consolidated Balance Sheet.</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Our proceeds in connection with the Term Loan were $696.4 million, net of discount of $33.8 million and issuance costs of $19.8 million. Both the discount and issuance costs are being amortized to interest expense over the term of the Term Loan using the effective interest rate method. Upon entering into the Term Loan, the effective interest rate was 10.2% and on November 25, 2022 the rate was updated to 13.7%.</w:t>
      </w:r>
    </w:p>
    <w:p>
      <w:pPr>
        <w:pStyle w:val="TextBody"/>
        <w:spacing w:before="0" w:after="0"/>
        <w:rPr/>
      </w:pPr>
      <w:r>
        <w:rPr/>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6610" w:type="dxa"/>
        <w:jc w:val="left"/>
        <w:tblInd w:w="0" w:type="dxa"/>
        <w:tblCellMar>
          <w:top w:w="28" w:type="dxa"/>
          <w:left w:w="28" w:type="dxa"/>
          <w:bottom w:w="28" w:type="dxa"/>
          <w:right w:w="28" w:type="dxa"/>
        </w:tblCellMar>
      </w:tblPr>
      <w:tblGrid>
        <w:gridCol w:w="1128"/>
        <w:gridCol w:w="989"/>
        <w:gridCol w:w="1003"/>
        <w:gridCol w:w="358"/>
        <w:gridCol w:w="1119"/>
        <w:gridCol w:w="172"/>
        <w:gridCol w:w="109"/>
        <w:gridCol w:w="109"/>
        <w:gridCol w:w="109"/>
        <w:gridCol w:w="315"/>
        <w:gridCol w:w="985"/>
        <w:gridCol w:w="214"/>
      </w:tblGrid>
      <w:tr>
        <w:trPr/>
        <w:tc>
          <w:tcPr>
            <w:tcW w:w="112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June 30, 2022</w:t>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750.0 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(29.2)</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698.1 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697.5 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10205" w:type="dxa"/>
        <w:jc w:val="left"/>
        <w:tblInd w:w="0" w:type="dxa"/>
        <w:tblCellMar>
          <w:top w:w="28" w:type="dxa"/>
          <w:left w:w="28" w:type="dxa"/>
          <w:bottom w:w="28" w:type="dxa"/>
          <w:right w:w="28" w:type="dxa"/>
        </w:tblCellMar>
      </w:tblPr>
      <w:tblGrid>
        <w:gridCol w:w="1401"/>
        <w:gridCol w:w="1229"/>
        <w:gridCol w:w="1235"/>
        <w:gridCol w:w="366"/>
        <w:gridCol w:w="756"/>
        <w:gridCol w:w="176"/>
        <w:gridCol w:w="176"/>
        <w:gridCol w:w="176"/>
        <w:gridCol w:w="176"/>
        <w:gridCol w:w="366"/>
        <w:gridCol w:w="658"/>
        <w:gridCol w:w="176"/>
        <w:gridCol w:w="109"/>
        <w:gridCol w:w="109"/>
        <w:gridCol w:w="109"/>
        <w:gridCol w:w="352"/>
        <w:gridCol w:w="725"/>
        <w:gridCol w:w="169"/>
        <w:gridCol w:w="169"/>
        <w:gridCol w:w="169"/>
        <w:gridCol w:w="169"/>
        <w:gridCol w:w="352"/>
        <w:gridCol w:w="632"/>
        <w:gridCol w:w="250"/>
      </w:tblGrid>
      <w:tr>
        <w:trPr/>
        <w:tc>
          <w:tcPr>
            <w:tcW w:w="1401"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Roboto;sans-serif" w:hAnsi="Roboto;sans-serif"/>
          <w:b/>
          <w:color w:val="000000"/>
          <w:sz w:val="18"/>
        </w:rPr>
      </w:pPr>
      <w:r>
        <w:rPr>
          <w:rFonts w:ascii="Roboto;sans-serif" w:hAnsi="Roboto;sans-serif"/>
          <w:b/>
          <w:color w:val="000000"/>
          <w:sz w:val="18"/>
        </w:rPr>
        <w:t>8. Commitments and Contingencies</w:t>
      </w:r>
    </w:p>
    <w:p>
      <w:pPr>
        <w:pStyle w:val="TextBody"/>
        <w:spacing w:lineRule="auto" w:line="288" w:before="0" w:after="0"/>
        <w:jc w:val="both"/>
        <w:rPr>
          <w:rFonts w:ascii="Roboto;sans-serif" w:hAnsi="Roboto;sans-serif"/>
          <w:b w:val="false"/>
          <w:color w:val="000000"/>
          <w:sz w:val="18"/>
          <w:highlight w:val="white"/>
        </w:rPr>
      </w:pPr>
      <w:r>
        <w:rPr>
          <w:rFonts w:ascii="Roboto;sans-serif" w:hAnsi="Roboto;sans-serif"/>
          <w:b w:val="false"/>
          <w:color w:val="000000"/>
          <w:sz w:val="18"/>
          <w:highlight w:val="white"/>
        </w:rPr>
        <w:t>The Company is subject to minimum guarantee royalty payments associated under certain music license agreements.</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highlight w:val="white"/>
        </w:rPr>
        <w:t xml:space="preserve">The following represents the Company's minimum annual guarantee payments under music license agreements for the next three years as of </w:t>
      </w:r>
      <w:r>
        <w:rPr>
          <w:rFonts w:ascii="Roboto;sans-serif" w:hAnsi="Roboto;sans-serif"/>
          <w:b w:val="false"/>
          <w:color w:val="000000"/>
          <w:sz w:val="18"/>
        </w:rPr>
        <w:t>March 31, 2023</w:t>
      </w:r>
      <w:r>
        <w:rPr>
          <w:rFonts w:ascii="Roboto;sans-serif" w:hAnsi="Roboto;sans-serif"/>
          <w:b w:val="false"/>
          <w:color w:val="000000"/>
          <w:sz w:val="18"/>
          <w:highlight w:val="white"/>
        </w:rPr>
        <w:t>:</w:t>
      </w:r>
    </w:p>
    <w:p>
      <w:pPr>
        <w:pStyle w:val="TextBody"/>
        <w:spacing w:before="0" w:after="0"/>
        <w:jc w:val="both"/>
        <w:rPr/>
      </w:pPr>
      <w:r>
        <w:rPr/>
      </w:r>
    </w:p>
    <w:tbl>
      <w:tblPr>
        <w:tblW w:w="4665" w:type="dxa"/>
        <w:jc w:val="left"/>
        <w:tblInd w:w="0" w:type="dxa"/>
        <w:tblCellMar>
          <w:top w:w="28" w:type="dxa"/>
          <w:left w:w="28" w:type="dxa"/>
          <w:bottom w:w="28" w:type="dxa"/>
          <w:right w:w="28" w:type="dxa"/>
        </w:tblCellMar>
      </w:tblPr>
      <w:tblGrid>
        <w:gridCol w:w="624"/>
        <w:gridCol w:w="550"/>
        <w:gridCol w:w="551"/>
        <w:gridCol w:w="610"/>
        <w:gridCol w:w="1911"/>
        <w:gridCol w:w="419"/>
      </w:tblGrid>
      <w:tr>
        <w:trPr/>
        <w:tc>
          <w:tcPr>
            <w:tcW w:w="624"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Fiscal Year</w:t>
            </w:r>
          </w:p>
        </w:tc>
        <w:tc>
          <w:tcPr>
            <w:tcW w:w="2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2023 (remaining)</w:t>
            </w:r>
          </w:p>
        </w:tc>
        <w:tc>
          <w:tcPr>
            <w:tcW w:w="6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2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132.0 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2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48.8 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2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216.4 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v:rect>
            </w:pict>
          </mc:Fallback>
        </mc:AlternateContent>
      </w:r>
    </w:p>
    <w:p>
      <w:pPr>
        <w:pStyle w:val="TextBody"/>
        <w:spacing w:before="0" w:after="0"/>
        <w:jc w:val="center"/>
        <w:rPr/>
      </w:pPr>
      <w:r>
        <w:rPr/>
      </w:r>
    </w:p>
    <w:p>
      <w:pPr>
        <w:pStyle w:val="TextBody"/>
        <w:spacing w:lineRule="auto" w:line="417" w:before="0" w:after="0"/>
        <w:rPr>
          <w:rFonts w:ascii="Roboto;sans-serif" w:hAnsi="Roboto;sans-serif"/>
          <w:b/>
          <w:i/>
          <w:color w:val="000000"/>
          <w:sz w:val="18"/>
        </w:rPr>
      </w:pPr>
      <w:r>
        <w:rPr>
          <w:rFonts w:ascii="Roboto;sans-serif" w:hAnsi="Roboto;sans-serif"/>
          <w:b/>
          <w:i/>
          <w:color w:val="000000"/>
          <w:sz w:val="18"/>
        </w:rPr>
        <w:t>Tread+ and Tread Product Recall Return Reserves and Cost Estimates</w:t>
      </w:r>
    </w:p>
    <w:p>
      <w:pPr>
        <w:pStyle w:val="TextBody"/>
        <w:spacing w:lineRule="auto" w:line="288" w:before="0" w:after="0"/>
        <w:jc w:val="both"/>
        <w:rPr/>
      </w:pPr>
      <w:r>
        <w:rPr>
          <w:rFonts w:ascii="Roboto;sans-serif" w:hAnsi="Roboto;sans-serif"/>
          <w:b w:val="false"/>
          <w:color w:val="050505"/>
          <w:sz w:val="18"/>
        </w:rPr>
        <w:t xml:space="preserve">On May 5, 2021, the Company announced separate, voluntary recalls of its Tread+ and Tread products in collaboration with the </w:t>
      </w:r>
      <w:r>
        <w:rPr>
          <w:rFonts w:ascii="Roboto;sans-serif" w:hAnsi="Roboto;sans-serif"/>
          <w:b w:val="false"/>
          <w:color w:val="000000"/>
          <w:sz w:val="18"/>
        </w:rPr>
        <w:t>U.S. Consumer Product Safety Commission ("</w:t>
      </w:r>
      <w:r>
        <w:rPr>
          <w:rFonts w:ascii="Roboto;sans-serif" w:hAnsi="Roboto;sans-serif"/>
          <w:b w:val="false"/>
          <w:color w:val="050505"/>
          <w:sz w:val="18"/>
        </w:rPr>
        <w:t>CPSC") and halted sales of these products to work on product enhancements</w:t>
      </w:r>
      <w:r>
        <w:rPr>
          <w:rFonts w:ascii="Roboto;sans-serif" w:hAnsi="Roboto;sans-serif"/>
          <w:b w:val="false"/>
          <w:color w:val="050505"/>
          <w:sz w:val="18"/>
          <w:highlight w:val="white"/>
        </w:rPr>
        <w:t>. On October 18, 2022, the CPSC and the Company jointly announced that consumers now have more time to get a full refund if they wish to return their Tread+. With the extension of the full refund period for one additional year, to November 6, 2023, the Company previously estimated that more Members would opt for a full refund, and accordingly increased the Company’s return reserve during the three months ended September 30, 2022. During the three months ended March 31, 2023, based on lower actual returns than previously estimated, the Company has updated its return reserve assumptions and decreased the Company’s return reserve. In addition, during the three months ended March 31, 2023, the Company recognized a contingent liability for the cost associated with the Tread+ product recall.</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50505"/>
          <w:sz w:val="18"/>
          <w:highlight w:val="white"/>
        </w:rPr>
        <w:t>The following table details</w:t>
      </w:r>
      <w:r>
        <w:rPr>
          <w:color w:val="050505"/>
        </w:rPr>
        <w:t xml:space="preserve"> </w:t>
      </w:r>
      <w:r>
        <w:rPr>
          <w:rFonts w:ascii="Roboto;sans-serif" w:hAnsi="Roboto;sans-serif"/>
          <w:b w:val="false"/>
          <w:color w:val="050505"/>
          <w:sz w:val="18"/>
        </w:rPr>
        <w:t xml:space="preserve">the (benefit)/reduction to Connected Fitness Products revenue for actual and future returns and costs associated with Tread+ and Tread product recalls that were recorded in </w:t>
      </w:r>
      <w:r>
        <w:rPr>
          <w:rFonts w:ascii="Roboto;sans-serif" w:hAnsi="Roboto;sans-serif"/>
          <w:b w:val="false"/>
          <w:color w:val="050505"/>
          <w:sz w:val="18"/>
          <w:highlight w:val="white"/>
        </w:rPr>
        <w:t>Connected Fitness</w:t>
      </w:r>
      <w:r>
        <w:rPr>
          <w:color w:val="050505"/>
        </w:rPr>
        <w:t xml:space="preserve"> </w:t>
      </w:r>
      <w:r>
        <w:rPr>
          <w:rFonts w:ascii="Roboto;sans-serif" w:hAnsi="Roboto;sans-serif"/>
          <w:b w:val="false"/>
          <w:color w:val="050505"/>
          <w:sz w:val="18"/>
        </w:rPr>
        <w:t>Products cost of revenue.</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535"/>
        <w:gridCol w:w="1350"/>
        <w:gridCol w:w="1353"/>
        <w:gridCol w:w="286"/>
        <w:gridCol w:w="827"/>
        <w:gridCol w:w="138"/>
        <w:gridCol w:w="138"/>
        <w:gridCol w:w="138"/>
        <w:gridCol w:w="138"/>
        <w:gridCol w:w="286"/>
        <w:gridCol w:w="743"/>
        <w:gridCol w:w="138"/>
        <w:gridCol w:w="109"/>
        <w:gridCol w:w="109"/>
        <w:gridCol w:w="109"/>
        <w:gridCol w:w="285"/>
        <w:gridCol w:w="742"/>
        <w:gridCol w:w="138"/>
        <w:gridCol w:w="138"/>
        <w:gridCol w:w="138"/>
        <w:gridCol w:w="138"/>
        <w:gridCol w:w="285"/>
        <w:gridCol w:w="742"/>
        <w:gridCol w:w="202"/>
      </w:tblGrid>
      <w:tr>
        <w:trPr/>
        <w:tc>
          <w:tcPr>
            <w:tcW w:w="1535"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4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Returns accrual for reduction to Connected Fitness Products revenue</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Costs of product recalls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Return reserves related to the impacts of the Tread+ recall of $29.3 million and $36.7 million were included within Accounts payable and accrued expenses in the Condensed Consolidated Balance Sheets as of March 31, 2023 and 2022, respectively. The estimated return reserves are primarily based on historical and expected product returns.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Bike Corrective Action Plan</w:t>
      </w:r>
    </w:p>
    <w:p>
      <w:pPr>
        <w:pStyle w:val="TextBody"/>
        <w:spacing w:lineRule="auto" w:line="288" w:before="0" w:after="0"/>
        <w:rPr/>
      </w:pPr>
      <w:r>
        <w:rPr>
          <w:rFonts w:ascii="Roboto;sans-serif" w:hAnsi="Roboto;sans-serif"/>
          <w:b w:val="false"/>
          <w:color w:val="000000"/>
          <w:sz w:val="18"/>
        </w:rPr>
        <w:t>During the three months ended March 31, 2023, we accrued $8.4 million of estimated contingent loss expense related to a voluntary corrective action plan (“CAP”) involving certain seat posts in our original model Peloton Bike (not Peloton Bike+). We have voluntarily notified the U.S. Consumer Product Safety Commission (“CPSC”) regarding this issue and are cooperating with the CPSC to finalize a voluntary CAP. The contingent liability accrual was based on an amount that was deemed probable and estimable. It is reasonably possible that any additional accruals for contingent losses related to this matter could be material to the financial statements, however, we are unable to estimate the amount of such additional losses at this time. For more detail on the potential impacts of the CAP to our business, see Part II, Item 1A “</w:t>
      </w:r>
      <w:r>
        <w:rPr>
          <w:rFonts w:ascii="Roboto;sans-serif" w:hAnsi="Roboto;sans-serif"/>
          <w:b w:val="false"/>
          <w:i/>
          <w:color w:val="000000"/>
          <w:sz w:val="18"/>
        </w:rPr>
        <w:t>Risk Factors - Risks Related to Our Connected Fitness Products and Members.”</w:t>
      </w:r>
    </w:p>
    <w:p>
      <w:pPr>
        <w:pStyle w:val="TextBody"/>
        <w:spacing w:lineRule="auto" w:line="417" w:before="240" w:after="283"/>
        <w:jc w:val="both"/>
        <w:rPr>
          <w:rFonts w:ascii="Roboto;sans-serif" w:hAnsi="Roboto;sans-serif"/>
          <w:b/>
          <w:i/>
          <w:color w:val="000000"/>
          <w:sz w:val="18"/>
        </w:rPr>
      </w:pPr>
      <w:r>
        <w:rPr>
          <w:rFonts w:ascii="Roboto;sans-serif" w:hAnsi="Roboto;sans-serif"/>
          <w:b/>
          <w:i/>
          <w:color w:val="000000"/>
          <w:sz w:val="18"/>
        </w:rPr>
        <w:t>Commitments to Suppliers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that are not cancellable in the event of a demand plan change or other circumstances, such as where the supplier has procured unique, Peloton-specific designs, and/or specific non-cancellable, non-returnable components based on our provided forecasts.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2023, the Company’s commitments to contract with third-party manufacturers for their inventory on-hand and component purchase commitments related to the manufacture of Peloton products were estimated to be approximately $211.9 million.</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is, or may become, a party to legal and regulatory proceedings with respect to a variety of matters in the ordinary course of business. </w:t>
      </w:r>
    </w:p>
    <w:p>
      <w:pPr>
        <w:pStyle w:val="TextBody"/>
        <w:spacing w:before="0" w:after="0"/>
        <w:jc w:val="both"/>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For example, in May 2021 we initiated a voluntary recall of our Tread+ product in collaboration with the CPSC. In December 2022, to continue our cooperation with the CPSC, we entered into a settlement agreement with the CPSC regarding matters related to the Tread+ recall. In the settlement, which was publicly announced in January 2023, we agreed to pay a $19.1 million civil penalty, resolving the CPSC’s charges that we violated the Consumer Product Safety Act (“CPSA”). We continue to work cooperatively with the CPSC to further enhance the safety of our products. In addition, shortly after the May 2021 recalls, the U.S. Department of Justice (the “DOJ”) and the Department of Homeland Security subpoenaed us for documents and other information related to our statutory obligations under the CPSA and is continuing to investigate the matter. The SEC is also investigating our public disclosures concerning the recall, as well as other matters. In addition to the regulatory investigations, we are presently subject to class action litigation and private personal injury claims related to these perceived defects in the Tread+ and incidents reported to result from its use.</w:t>
      </w:r>
    </w:p>
    <w:p>
      <w:pPr>
        <w:pStyle w:val="TextBody"/>
        <w:spacing w:before="0" w:after="0"/>
        <w:jc w:val="both"/>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 xml:space="preserve">Additionally on April 29, 2021, Ashley Wilson filed a putative securities class action lawsuit against the Company and certain of its officers, captioned Wilson v. Peloton Interactive, Inc., et al., Case No. 1:21-cv-02369-CBA-PK, in the United States District Court for the Eastern District of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v:rect>
            </w:pict>
          </mc:Fallback>
        </mc:AlternateContent>
      </w:r>
    </w:p>
    <w:p>
      <w:pPr>
        <w:pStyle w:val="TextBody"/>
        <w:spacing w:before="0" w:after="0"/>
        <w:jc w:val="center"/>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New York (the "Wilson Action"), and on May 24, 2021, Leigh Drori filed a related putative securities class action lawsuit, captioned Drori v. Peloton Interactive, Inc., et al., Case No. 1:21-cv-02925-CBA-PK, also in the United States District Court for the Eastern District of New York (the “Drori Action”). On November 16, 2021, the district judge consolidated the Wilson and Drori Actions under the caption In re Peloton Interactive, Inc. Securities Litigation, Master File No. 21-cv-02369-CBA-PK, and appointed Richard Neswick as lead plaintiff. On January 21, 2022, lead plaintiff filed an amended 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Exchange Act of 1934 (“Exchange Act”) regarding the Company’s Tread and Tread+ products and the safety of those products. Defendants served their motion to dismiss the amended consolidated complaint on March 7, 2022, and briefing was complete on April 26, 2022. A hearing on the motion to dismiss was held on June 8, 2022. On December 15, 2022, the parties reached a settlement-in-principle and on December 16, 2022, the court stayed the action in light of that settlement-in-principle. On April 17, 2023, the parties entered into a settlement agreement to resolve the action for $14.0 million, for which the Company had previously taken a reserve, and submitted the agreement to the court for approval. Under the terms of this agreement, defendants continue to deny any liability or wrongdoing. The settlement remains subject to court approval.</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On May 20, 2021, Alan Chu filed a verified shareholder derivative action lawsuit purportedly on behalf of the Company against certain of the Company’s executive officers and the members of the Board of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Exchange Act, as well as a claim for contribution under Sections 10(b) and 21D of the Exchange Act against the Company’s Chief Executive Officer and Chief Financial Officer. On August 13, 2021 and August 19, 2021, two related verified shareholder derivative complaints were filed, captioned Genack v. Foley, et al., Case No. 1:21-cv-04583 and Liu v. Foley, et al., Case No. 1:21-cv-04687, also purportedly on behalf of the Company, in the United States District Court for the Eastern District of New York. On October 13, 2021, the parties in the three putative derivative actions filed a stipulation seeking to consolidate the actions, and agreeing to a schedule for plaintiffs to file motions to be appointed lead plaintiff. On October 26, 2021, the court entered the stipulation consolidating the three actions under the caption In re Peloton Interactive, Inc. Derivative Litigation, Master File No. 21-cv-02862-CBA-PK. On November 23, 2021, Anthony Franchi filed a shareholder derivative action in the United States District Court for the Eastern District of New York against certain of the Company’s executive officers and members of the board of directors captioned Franchi v. Blachford, et al., Case No. CV 21-06544 (the “Franchi Action”), which alleges breaches of fiduciary duty, unjust enrichment, and violations of Sections 14(a) and 20(a) of the Exchange Act. On January 24, 2022, the court entered a stipulation consolidating the Franchi Action into In re Peloton Interactive, Inc. Derivative Litigation (the “EDNY Derivative Action”) and appointed each plaintiff a co-lead plaintiff. On February 3, 2022, the parties filed a stipulation to stay the consolidated derivative action, which the Court entered on February 11, 2022, and the case remains stayed. On November 18, 2022, and December 8, 2022, respectively, shareholders Krikor Arslanian and Michael Smith filed putative verified stockholder derivative actions in the Court of Chancery of the State of Delaware purportedly on behalf of the Company against certain of the Company’s executive officers and directors (the “Chancery Actions”), captioned Arslanian v. Blachford, et al., Case No. 2022-1051-KSJM and Smith v. Boone, et al., Case No. 2022-1138-KSJM, asserting similar allegations to those made in the EDNY Derivative Action. On December 14, 2022, the Chancery Actions were consolidated as In re Peloton Interactive, Inc. Stockholder Derivative Litigation and stayed. On December 22, 2022, putative shareholder Charles Blackburn filed a putative stockholder derivative action in the United States District Court for the District of Delaware, asserting similar allegations to those in the EDNY Derivative Action and the Chancery Actions against certain current and former Company officers and directors, captioned Blackburn v. Foley, et al., Case No. 22-cv-01618-GBW. On January 12, 2023, the court stayed the Blackburn action. On February 21, 2023 shareholders Allison Manzella and Clark Ovruchesky filed a putative verified stockholder derivative action in the Court of Chancery in the State of Delaware on behalf of the Company against certain of the Company’s officers and directors, captioned Manzella v. Cortese, et al., C.A. No. 2023-0224-KSJM,</w:t>
      </w:r>
      <w:r>
        <w:rPr>
          <w:color w:val="000000"/>
        </w:rPr>
        <w:t xml:space="preserve"> </w:t>
      </w:r>
      <w:r>
        <w:rPr>
          <w:rFonts w:ascii="Roboto;sans-serif" w:hAnsi="Roboto;sans-serif"/>
          <w:b w:val="false"/>
          <w:color w:val="000000"/>
          <w:sz w:val="18"/>
        </w:rPr>
        <w:t xml:space="preserve">alleging the defendants breached their fiduciary duties by purportedly making false statements about demand for the company’s products and engaging in improper trading. On March 20, 2023, shareholder Daniel Banks likewise filed a putative verified stockholder derivative action in the Court of Chancery in the State of Delaware on behalf of the Company, captioned </w:t>
      </w:r>
      <w:r>
        <w:rPr>
          <w:rFonts w:ascii="Roboto;sans-serif" w:hAnsi="Roboto;sans-serif"/>
          <w:b w:val="false"/>
          <w:i/>
          <w:color w:val="000000"/>
          <w:sz w:val="18"/>
        </w:rPr>
        <w:t xml:space="preserve">Banks v. Foley, et al., </w:t>
      </w:r>
      <w:r>
        <w:rPr>
          <w:rFonts w:ascii="Roboto;sans-serif" w:hAnsi="Roboto;sans-serif"/>
          <w:b w:val="false"/>
          <w:color w:val="000000"/>
          <w:sz w:val="18"/>
        </w:rPr>
        <w:t xml:space="preserve">C.A. No. 2023-0340-KSJM, asserting substantially similar allegations. On April 18, 2023, plaintiffs in the Chancery Actions moved to consolidate their action with the Manzella and Banks actions. </w:t>
      </w:r>
      <w:r>
        <w:rPr>
          <w:rFonts w:ascii="Roboto;sans-serif" w:hAnsi="Roboto;sans-serif"/>
          <w:b w:val="false"/>
          <w:color w:val="000000"/>
          <w:sz w:val="18"/>
          <w:highlight w:val="white"/>
        </w:rPr>
        <w:t>On April 28, 2023, shareholder Karen Florentino filed a putative verified stockholder derivative action in the Court of Chancery in the State of Delaware on behalf of the Company, captioned Florentino v. Cortese, et al., C.A. No. 2023-0468, asserting substantially similar allegations as those in the Manzella and Banks actions.</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On November 18, 2021, the City of Hialeah Employees’ Retirement System filed a putative securities class action lawsuit against the Company and certain of its officers in the United States District Court for the Southern District of New York, captioned City of Hialeah Employees’ Retirement System v. Peloton Interactive, Inc., Case No. 21-cv-09582-ALC (the “Hialeah Action”), and on December 2, 2021, Anastasia Deulina filed a related putative securities class action against the same defendants also in the United States District Court for the Southern District of New York captioned Deulina v. Peloton Interactive, Inc., Case No. 21-cv-10266-ALC (the “Deulina Action”). On May 5, 2022, the Court consolidated the Hialeah and Deulina Actions and appointed Robeco Capital Growth Funds SICAV – Robeco Global Consumer Trends as lead plaintiff. Lead plaintiff filed its amended complaint on June 25, 2022, purportedly on behalf of a class of individuals who purchased or otherwise acquired the Company’s common stock between February 5, 2021 and November 4, 2021, alleging that the Company and certain of its officers made false or misleading statements about demand for the Company’s products and engaged in improper trading in violation of Sections 10(b), 20(a), and 20A of the Exchange Act. Defendants filed their motion to dismiss on August 22, 2022, and briefing was completed on November 3, 2022. On March 30, 2023, the court granted defendants’ motion to dismiss. Lead plaintiff has until May 5, 2023 to file an amended complaint.</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highlight w:val="white"/>
        </w:rPr>
      </w:pPr>
      <w:r>
        <w:rPr>
          <w:rFonts w:ascii="Roboto;sans-serif" w:hAnsi="Roboto;sans-serif"/>
          <w:b w:val="false"/>
          <w:color w:val="000000"/>
          <w:sz w:val="18"/>
          <w:highlight w:val="white"/>
        </w:rPr>
        <w:t xml:space="preserve">In April 2021, DISH Technologies L.L.C., and Sling TV L.L.C. (“DISH”) filed a complaint in the United States District Court for the Eastern District of Texas. DISH, and, along with DISH DBS Corporation, also filed a complaint in the United States International Trade Commission (“ITC”) under Section 337 of the Tariff Act of 1930 against the Company, along with ICON Health &amp; Fitness, Inc. (now iFIT Inc. f/k/a Icon Health &amp; Fitness, Inc.), FreeMotion Fitness, Inc., NordicTrack, Inc., lululemon athletica, inc., and Curiouser Products Inc. d/b/a MIRROR. The complaints alleged infringement of various patents related to fitness devices containing internet-streaming enabled video displays. In the ITC matter, on September 9, 2022 an Initial Determination was issued recommending that the ITC enter an exclusion order and a cease and desist order against Peloton’s importation and sale of Bike, Bike+, Tread and Tread+ products (and others that operate similarly) on the basis that those products infringed all four asserted patents of DISH. On March 8, 2023, the ITC issued an opinion finding that Peloton had imported products which infringe certain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v:rect>
            </w:pict>
          </mc:Fallback>
        </mc:AlternateContent>
      </w:r>
    </w:p>
    <w:p>
      <w:pPr>
        <w:pStyle w:val="TextBody"/>
        <w:spacing w:before="0" w:after="0"/>
        <w:jc w:val="center"/>
        <w:rPr/>
      </w:pPr>
      <w:r>
        <w:rPr/>
      </w:r>
    </w:p>
    <w:p>
      <w:pPr>
        <w:pStyle w:val="TextBody"/>
        <w:spacing w:lineRule="auto" w:line="288" w:before="0" w:after="0"/>
        <w:jc w:val="both"/>
        <w:rPr/>
      </w:pPr>
      <w:r>
        <w:rPr>
          <w:rFonts w:ascii="Roboto;sans-serif" w:hAnsi="Roboto;sans-serif"/>
          <w:b w:val="false"/>
          <w:color w:val="000000"/>
          <w:sz w:val="18"/>
          <w:highlight w:val="white"/>
        </w:rPr>
        <w:t>claims of the patents asserted by DISH. On the basis of that finding, the ITC issued a limited exclusion order and cease and desist order (“remedial orders”). The remedial orders were subject to a 60-day Presidential Review Period ending on May 7, 2023. Absent presidential disapproval, after May 7, 2023, the remedial orders would have prohibited (i) the sale, distribution, marketing, transferring, or advertising in the United States of products that have the infringing functionality installed on them, and (ii) the importation of such products unless and until Customs and Border Protection (“CBP”) deems them non-infringing</w:t>
      </w:r>
      <w:r>
        <w:rPr>
          <w:rFonts w:ascii="Roboto;sans-serif" w:hAnsi="Roboto;sans-serif"/>
          <w:b w:val="false"/>
          <w:color w:val="000000"/>
          <w:sz w:val="18"/>
        </w:rPr>
        <w:t xml:space="preserve">. On May 1, 2023, Peloton executed a Settlement, Patent License, and Release Agreement with DISH resolving the ITC matter and the Eastern District of Texas matter, pursuant to which Peloton paid a one time settlement payment of </w:t>
      </w:r>
      <w:r>
        <w:rPr>
          <w:rFonts w:ascii="Roboto;sans-serif" w:hAnsi="Roboto;sans-serif"/>
          <w:b w:val="false"/>
          <w:color w:val="000000"/>
          <w:sz w:val="18"/>
          <w:highlight w:val="white"/>
        </w:rPr>
        <w:t>$75.0 million</w:t>
      </w:r>
      <w:r>
        <w:rPr>
          <w:color w:val="000000"/>
        </w:rPr>
        <w:t xml:space="preserve"> </w:t>
      </w:r>
      <w:r>
        <w:rPr>
          <w:rFonts w:ascii="Roboto;sans-serif" w:hAnsi="Roboto;sans-serif"/>
          <w:b w:val="false"/>
          <w:color w:val="000000"/>
          <w:sz w:val="18"/>
        </w:rPr>
        <w:t xml:space="preserve">to DISH and DISH is seeking to terminate the related legal proceedings.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highlight w:val="white"/>
        </w:rPr>
      </w:pPr>
      <w:r>
        <w:rPr>
          <w:rFonts w:ascii="Roboto;sans-serif" w:hAnsi="Roboto;sans-serif"/>
          <w:b w:val="false"/>
          <w:color w:val="000000"/>
          <w:sz w:val="18"/>
          <w:highlight w:val="white"/>
        </w:rPr>
        <w:t>On August 4, 2022, Mayville Engineering Company, Inc. (“MEC”) filed suit against Peloton in the Supreme Court of the State of New York, Index No. 652735/2022, alleging claims for breach of contract, or, in the alternative, breach of the implied duty of good faith and fair dealing. MEC alleges that Peloton breached a supply agreement under which MEC agreed to supply certain parts for Peloton products, and that it is entitled to damages in an amount exceeding $107.0 million, plus pre-judgment interest, fees, and costs. On September 23, 2022, Peloton moved to dismiss MEC's complaint. On January 6, 2023, the Court partially granted and partially denied Peloton's motion to dismiss, dismissing MEC’s alternative claim for breach of the implied duty of good faith and fair dealing with prejudice, but allowing MEC's claim for breach of contract to move forward. The matter is ongoing.</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except where otherwise indicated,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Roboto;sans-serif" w:hAnsi="Roboto;sans-serif"/>
          <w:b/>
          <w:color w:val="000000"/>
          <w:sz w:val="18"/>
        </w:rPr>
      </w:pPr>
      <w:r>
        <w:rPr>
          <w:rFonts w:ascii="Roboto;sans-serif" w:hAnsi="Roboto;sans-serif"/>
          <w:b/>
          <w:color w:val="000000"/>
          <w:sz w:val="18"/>
        </w:rPr>
        <w:t xml:space="preserve">9. Equity-Based Compensation </w:t>
      </w:r>
    </w:p>
    <w:p>
      <w:pPr>
        <w:pStyle w:val="TextBody"/>
        <w:spacing w:before="0" w:after="0"/>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2019 Equity Incentive Plan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2022, the number of shares of Class A Common Stock available for issuance under the 2019 Plan was automatically increased according to its terms by 16,913,700 shares. As of March 31, 2023, 43,845,942 shares of Class A Common Stock are available for future award under the 2019 Plan.</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Stock Options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summary sets forth the stock option activity under the 2015 Plan and 2019 Plan:</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25"/>
        <w:gridCol w:w="491"/>
        <w:gridCol w:w="492"/>
        <w:gridCol w:w="889"/>
        <w:gridCol w:w="429"/>
        <w:gridCol w:w="375"/>
        <w:gridCol w:w="109"/>
        <w:gridCol w:w="109"/>
        <w:gridCol w:w="109"/>
        <w:gridCol w:w="471"/>
        <w:gridCol w:w="1474"/>
        <w:gridCol w:w="229"/>
        <w:gridCol w:w="109"/>
        <w:gridCol w:w="109"/>
        <w:gridCol w:w="109"/>
        <w:gridCol w:w="809"/>
        <w:gridCol w:w="809"/>
        <w:gridCol w:w="811"/>
        <w:gridCol w:w="109"/>
        <w:gridCol w:w="109"/>
        <w:gridCol w:w="109"/>
        <w:gridCol w:w="273"/>
        <w:gridCol w:w="854"/>
        <w:gridCol w:w="193"/>
      </w:tblGrid>
      <w:tr>
        <w:trPr/>
        <w:tc>
          <w:tcPr>
            <w:tcW w:w="62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Options Outstanding</w:t>
            </w:r>
          </w:p>
        </w:tc>
      </w:tr>
      <w:tr>
        <w:trPr/>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Number of Stock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Roboto;sans-serif" w:hAnsi="Roboto;sans-serif"/>
                <w:b/>
                <w:color w:val="000000"/>
                <w:sz w:val="18"/>
              </w:rPr>
            </w:pPr>
            <w:r>
              <w:rPr>
                <w:rFonts w:ascii="Roboto;sans-serif" w:hAnsi="Roboto;sans-serif"/>
                <w:b/>
                <w:color w:val="000000"/>
                <w:sz w:val="18"/>
              </w:rPr>
              <w:t>Weighted-Average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Remaining Contractual Term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Roboto;sans-serif" w:hAnsi="Roboto;sans-serif"/>
                <w:b/>
                <w:color w:val="000000"/>
                <w:sz w:val="18"/>
              </w:rPr>
            </w:pPr>
            <w:r>
              <w:rPr>
                <w:rFonts w:ascii="Roboto;sans-serif" w:hAnsi="Roboto;sans-serif"/>
                <w:b/>
                <w:color w:val="000000"/>
                <w:sz w:val="18"/>
              </w:rPr>
              <w:t>Aggregate</w:t>
            </w:r>
          </w:p>
          <w:p>
            <w:pPr>
              <w:pStyle w:val="TableContents"/>
              <w:spacing w:lineRule="auto" w:line="240" w:before="0" w:after="0"/>
              <w:jc w:val="center"/>
              <w:rPr>
                <w:rFonts w:ascii="Roboto;sans-serif" w:hAnsi="Roboto;sans-serif"/>
                <w:b/>
                <w:color w:val="000000"/>
                <w:sz w:val="18"/>
              </w:rPr>
            </w:pPr>
            <w:r>
              <w:rPr>
                <w:rFonts w:ascii="Roboto;sans-serif" w:hAnsi="Roboto;sans-serif"/>
                <w:b/>
                <w:color w:val="000000"/>
                <w:sz w:val="18"/>
              </w:rPr>
              <w:t xml:space="preserve">Intrinsic </w:t>
            </w:r>
          </w:p>
          <w:p>
            <w:pPr>
              <w:pStyle w:val="TableContents"/>
              <w:spacing w:lineRule="auto" w:line="240" w:before="0" w:after="0"/>
              <w:jc w:val="center"/>
              <w:rPr>
                <w:rFonts w:ascii="Roboto;sans-serif" w:hAnsi="Roboto;sans-serif"/>
                <w:b/>
                <w:color w:val="000000"/>
                <w:sz w:val="18"/>
              </w:rPr>
            </w:pPr>
            <w:r>
              <w:rPr>
                <w:rFonts w:ascii="Roboto;sans-serif" w:hAnsi="Roboto;sans-serif"/>
                <w:b/>
                <w:color w:val="000000"/>
                <w:sz w:val="18"/>
              </w:rPr>
              <w:t>Value (in millions)</w:t>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2022</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61,815,926 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1,437,950 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8.92 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Exercised</w:t>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(11,076,872)</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5.65 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(7,765,745)</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32.02 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March 31, 2023</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44,411,259 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Vested and Exercisable— March 31, 2023</w:t>
            </w:r>
          </w:p>
        </w:tc>
        <w:tc>
          <w:tcPr>
            <w:tcW w:w="13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29,968,347 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17.14 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Unvested option activity is as follows:</w:t>
      </w:r>
    </w:p>
    <w:p>
      <w:pPr>
        <w:pStyle w:val="TextBody"/>
        <w:spacing w:before="0" w:after="0"/>
        <w:jc w:val="both"/>
        <w:rPr/>
      </w:pPr>
      <w:r>
        <w:rPr/>
      </w:r>
    </w:p>
    <w:tbl>
      <w:tblPr>
        <w:tblW w:w="8803" w:type="dxa"/>
        <w:jc w:val="left"/>
        <w:tblInd w:w="0" w:type="dxa"/>
        <w:tblCellMar>
          <w:top w:w="28" w:type="dxa"/>
          <w:left w:w="28" w:type="dxa"/>
          <w:bottom w:w="28" w:type="dxa"/>
          <w:right w:w="28" w:type="dxa"/>
        </w:tblCellMar>
      </w:tblPr>
      <w:tblGrid>
        <w:gridCol w:w="945"/>
        <w:gridCol w:w="830"/>
        <w:gridCol w:w="835"/>
        <w:gridCol w:w="623"/>
        <w:gridCol w:w="623"/>
        <w:gridCol w:w="301"/>
        <w:gridCol w:w="109"/>
        <w:gridCol w:w="109"/>
        <w:gridCol w:w="109"/>
        <w:gridCol w:w="897"/>
        <w:gridCol w:w="2807"/>
        <w:gridCol w:w="615"/>
      </w:tblGrid>
      <w:tr>
        <w:trPr/>
        <w:tc>
          <w:tcPr>
            <w:tcW w:w="94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807"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June 30, 2022</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25,347,235 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19.35 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1,437,950 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6.42 </w:t>
            </w:r>
          </w:p>
        </w:tc>
        <w:tc>
          <w:tcPr>
            <w:tcW w:w="6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(7,751,971)</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18.49 </w:t>
            </w:r>
          </w:p>
        </w:tc>
        <w:tc>
          <w:tcPr>
            <w:tcW w:w="6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(4,590,302)</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8.66 </w:t>
            </w:r>
          </w:p>
        </w:tc>
        <w:tc>
          <w:tcPr>
            <w:tcW w:w="6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March 31, 2023</w:t>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14,442,912 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18.75 </w:t>
            </w:r>
          </w:p>
        </w:tc>
        <w:tc>
          <w:tcPr>
            <w:tcW w:w="6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aggregate intrinsic value of options outstanding and vested and exercisable was calculated as the difference between the exercise price of the options and the fair value of the Company’s common stock as of March 31, 2023. The fair value of the common stock is the closing stock price of the Company's Class A Common Stock as reported on The Nasdaq Global Select Market. The aggregate intrinsic value of exercised options was $82.6 million and $369.5 million for the nine months ended March 31, 2023 and 2022, respectively.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July 1, 2022, the Compensation Committee of the Board of Directors of the Company approved a one-time repricing of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 </w:t>
      </w:r>
    </w:p>
    <w:p>
      <w:pPr>
        <w:pStyle w:val="TextBody"/>
        <w:spacing w:before="0" w:after="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For the nine months ended March 31, 2023 and 2022, the weighted-average grant date fair value per option was $6.42 and $23.07, respectively. The fair value of each option was estimated at the grant date using the Black-Scholes method with the following assumptions:</w:t>
      </w:r>
    </w:p>
    <w:tbl>
      <w:tblPr>
        <w:tblW w:w="7889" w:type="dxa"/>
        <w:jc w:val="left"/>
        <w:tblInd w:w="0" w:type="dxa"/>
        <w:tblCellMar>
          <w:top w:w="28" w:type="dxa"/>
          <w:left w:w="28" w:type="dxa"/>
          <w:bottom w:w="28" w:type="dxa"/>
          <w:right w:w="28" w:type="dxa"/>
        </w:tblCellMar>
      </w:tblPr>
      <w:tblGrid>
        <w:gridCol w:w="1500"/>
        <w:gridCol w:w="1316"/>
        <w:gridCol w:w="1324"/>
        <w:gridCol w:w="761"/>
        <w:gridCol w:w="761"/>
        <w:gridCol w:w="2227"/>
      </w:tblGrid>
      <w:tr>
        <w:trPr/>
        <w:tc>
          <w:tcPr>
            <w:tcW w:w="1500"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 2023</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Weighted average risk-free interest rate </w:t>
            </w:r>
            <w:r>
              <w:rPr>
                <w:rFonts w:ascii="Roboto;sans-serif" w:hAnsi="Roboto;sans-serif"/>
                <w:b w:val="false"/>
                <w:color w:val="000000"/>
                <w:sz w:val="12"/>
              </w:rPr>
              <w:t>(1)</w:t>
            </w:r>
            <w:r>
              <w:rPr>
                <w:color w:val="000000"/>
              </w:rPr>
              <w:t xml:space="preserve"> </w:t>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Weighted average expected volatility </w:t>
            </w:r>
            <w:r>
              <w:rPr>
                <w:rFonts w:ascii="Roboto;sans-serif" w:hAnsi="Roboto;sans-serif"/>
                <w:b w:val="false"/>
                <w:color w:val="000000"/>
                <w:sz w:val="12"/>
              </w:rPr>
              <w:t xml:space="preserve">(2) </w:t>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81.4 </w:t>
            </w:r>
          </w:p>
        </w:tc>
        <w:tc>
          <w:tcPr>
            <w:tcW w:w="22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spacing w:lineRule="auto" w:line="288" w:before="60" w:after="60"/>
        <w:rPr>
          <w:rFonts w:ascii="Roboto;sans-serif" w:hAnsi="Roboto;sans-serif"/>
          <w:b w:val="false"/>
          <w:color w:val="000000"/>
          <w:sz w:val="14"/>
        </w:rPr>
      </w:pPr>
      <w:r>
        <w:rPr>
          <w:rFonts w:ascii="Roboto;sans-serif" w:hAnsi="Roboto;sans-serif"/>
          <w:b w:val="false"/>
          <w:color w:val="000000"/>
          <w:sz w:val="14"/>
        </w:rPr>
        <w:t>(1) Based on U.S. Treasury yield curve in effect at the time of grant.</w:t>
      </w:r>
    </w:p>
    <w:p>
      <w:pPr>
        <w:pStyle w:val="TextBody"/>
        <w:spacing w:lineRule="auto" w:line="288" w:before="60" w:after="60"/>
        <w:rPr>
          <w:rFonts w:ascii="Roboto;sans-serif" w:hAnsi="Roboto;sans-serif"/>
          <w:b w:val="false"/>
          <w:color w:val="000000"/>
          <w:sz w:val="14"/>
        </w:rPr>
      </w:pPr>
      <w:r>
        <w:rPr>
          <w:rFonts w:ascii="Roboto;sans-serif" w:hAnsi="Roboto;sans-serif"/>
          <w:b w:val="false"/>
          <w:color w:val="000000"/>
          <w:sz w:val="14"/>
        </w:rPr>
        <w:t>(2) 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pStyle w:val="TextBody"/>
        <w:spacing w:before="60" w:after="60"/>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Restricted Stock and Restricted Stock Units</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summarizes the activity related to the Company's restricted stock and restricted stock units:</w:t>
      </w:r>
    </w:p>
    <w:tbl>
      <w:tblPr>
        <w:tblW w:w="10021" w:type="dxa"/>
        <w:jc w:val="left"/>
        <w:tblInd w:w="0" w:type="dxa"/>
        <w:tblCellMar>
          <w:top w:w="28" w:type="dxa"/>
          <w:left w:w="28" w:type="dxa"/>
          <w:bottom w:w="28" w:type="dxa"/>
          <w:right w:w="28" w:type="dxa"/>
        </w:tblCellMar>
      </w:tblPr>
      <w:tblGrid>
        <w:gridCol w:w="1086"/>
        <w:gridCol w:w="956"/>
        <w:gridCol w:w="958"/>
        <w:gridCol w:w="664"/>
        <w:gridCol w:w="664"/>
        <w:gridCol w:w="666"/>
        <w:gridCol w:w="236"/>
        <w:gridCol w:w="236"/>
        <w:gridCol w:w="236"/>
        <w:gridCol w:w="899"/>
        <w:gridCol w:w="2809"/>
        <w:gridCol w:w="611"/>
      </w:tblGrid>
      <w:tr>
        <w:trPr/>
        <w:tc>
          <w:tcPr>
            <w:tcW w:w="10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8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Restricted Stock Units Outstanding</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Number of Awards</w:t>
            </w:r>
          </w:p>
        </w:tc>
        <w:tc>
          <w:tcPr>
            <w:tcW w:w="7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2022</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8,977,705 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42.49 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27,850,762 </w:t>
            </w:r>
          </w:p>
        </w:tc>
        <w:tc>
          <w:tcPr>
            <w:tcW w:w="6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10.92 </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 and converted to shares</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(3,976,734)</w:t>
            </w:r>
          </w:p>
        </w:tc>
        <w:tc>
          <w:tcPr>
            <w:tcW w:w="6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34.49 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Cancelled</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(5,267,192)</w:t>
            </w:r>
          </w:p>
        </w:tc>
        <w:tc>
          <w:tcPr>
            <w:tcW w:w="6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25.81 </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March 31, 2023</w:t>
            </w:r>
          </w:p>
        </w:tc>
        <w:tc>
          <w:tcPr>
            <w:tcW w:w="13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27,584,541 </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14.95 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Employee Stock Purchase Plan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August 2019, the Board of Directors adopted, and in September 2019, the Company's stockholders approved, the Employee Stock Purchase Plan (“ESPP”), through which eligible employees may purchase shares of the Company's Class A Common Stock at a discount through accumulated payroll deductions. The ESPP became effective on the date the registration statement, in connection with the Company’s initial public offering,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committee in its sole discretion. On July 1, 2022, the number of shares of Class A Common Stock available for issuance under the ESPP was automatically increased according to its terms by 3,382,740 shares. As of March 31, 2023, a total of 12,626,752 shares of Class A Common Stock was available for sale to employees under the ESPP.</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will automatically be enrolled in the subsequent offering period (“ESPP reset”), resulting in a modification under ASC 718.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During the nine months ended March 31, 2023, there were ESPP resets that resulted in total modification charges of $2.7 million, which are recognized over the new two-year offering period ending August 31, 2024. </w:t>
      </w:r>
    </w:p>
    <w:p>
      <w:pPr>
        <w:pStyle w:val="TextBody"/>
        <w:spacing w:before="0" w:after="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Black-Scholes option pricing model assumptions used to calculate the fair value of shares estimated to be purchased at the commencement of the ESPP offering periods were as follows:</w:t>
      </w:r>
    </w:p>
    <w:tbl>
      <w:tblPr>
        <w:tblW w:w="7889" w:type="dxa"/>
        <w:jc w:val="left"/>
        <w:tblInd w:w="0" w:type="dxa"/>
        <w:tblCellMar>
          <w:top w:w="28" w:type="dxa"/>
          <w:left w:w="28" w:type="dxa"/>
          <w:bottom w:w="28" w:type="dxa"/>
          <w:right w:w="28" w:type="dxa"/>
        </w:tblCellMar>
      </w:tblPr>
      <w:tblGrid>
        <w:gridCol w:w="1500"/>
        <w:gridCol w:w="1316"/>
        <w:gridCol w:w="1324"/>
        <w:gridCol w:w="761"/>
        <w:gridCol w:w="761"/>
        <w:gridCol w:w="2227"/>
      </w:tblGrid>
      <w:tr>
        <w:trPr/>
        <w:tc>
          <w:tcPr>
            <w:tcW w:w="1500"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 2023</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risk-free interest rate </w:t>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2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 average expected volatility</w:t>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87.5 </w:t>
            </w:r>
          </w:p>
        </w:tc>
        <w:tc>
          <w:tcPr>
            <w:tcW w:w="22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nine months ended March 31, 2023, the Company recorded stock-based compensation expense associated with the ESPP of $3.1 million and $15.0 million, respectively, and $2.4 million and $10.6 million for the three and nine months ended March 31, 2022, respectively.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period that ended on August 31, 2022, employees purchased 386,121 shares of Class A Common Stock at a weighted-average price of $8.66 under the ESPP. In connection with the offering period that ended on February 28, 2023, employees purchased 518,326 shares of Class A Common Stock at a weighted-average price of $8.74 under the ESPP. As of March 31, 2023, total unrecognized compensation cost related to the ESPP was $11.1 million, which will be amortized over a weighted-average remaining period of 1.9 years.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Stock-Based Compensation Expense</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total stock-based compensation expense was as follows:</w:t>
      </w:r>
    </w:p>
    <w:tbl>
      <w:tblPr>
        <w:tblW w:w="10205" w:type="dxa"/>
        <w:jc w:val="center"/>
        <w:tblInd w:w="0" w:type="dxa"/>
        <w:tblCellMar>
          <w:top w:w="28" w:type="dxa"/>
          <w:left w:w="28" w:type="dxa"/>
          <w:bottom w:w="28" w:type="dxa"/>
          <w:right w:w="28" w:type="dxa"/>
        </w:tblCellMar>
      </w:tblPr>
      <w:tblGrid>
        <w:gridCol w:w="1358"/>
        <w:gridCol w:w="1126"/>
        <w:gridCol w:w="1136"/>
        <w:gridCol w:w="311"/>
        <w:gridCol w:w="807"/>
        <w:gridCol w:w="149"/>
        <w:gridCol w:w="149"/>
        <w:gridCol w:w="149"/>
        <w:gridCol w:w="149"/>
        <w:gridCol w:w="311"/>
        <w:gridCol w:w="972"/>
        <w:gridCol w:w="149"/>
        <w:gridCol w:w="109"/>
        <w:gridCol w:w="109"/>
        <w:gridCol w:w="109"/>
        <w:gridCol w:w="285"/>
        <w:gridCol w:w="894"/>
        <w:gridCol w:w="137"/>
        <w:gridCol w:w="137"/>
        <w:gridCol w:w="137"/>
        <w:gridCol w:w="137"/>
        <w:gridCol w:w="285"/>
        <w:gridCol w:w="894"/>
        <w:gridCol w:w="206"/>
      </w:tblGrid>
      <w:tr>
        <w:trPr/>
        <w:tc>
          <w:tcPr>
            <w:tcW w:w="1358"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2023, the Company had $640.1 million of unrecognized stock-based compensation expense related to unvested stock-based awards that is expected to be recognized over a weighted-average period of 2.8 years.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v:rect>
            </w:pict>
          </mc:Fallback>
        </mc:AlternateContent>
      </w:r>
    </w:p>
    <w:p>
      <w:pPr>
        <w:pStyle w:val="TextBody"/>
        <w:spacing w:before="0" w:after="0"/>
        <w:jc w:val="center"/>
        <w:rPr/>
      </w:pPr>
      <w:r>
        <w:rPr/>
      </w:r>
    </w:p>
    <w:p>
      <w:pPr>
        <w:pStyle w:val="TextBody"/>
        <w:spacing w:before="0" w:after="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In the nine months ended March 31, 2023, 13 employees of the Company who were eligible to participate in the Company’s Severance and Change in Control Plan (the “Severance Plan”) terminated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$1.3 million and $49.6 million for the three and nine months ended March 31, 2023, respectively, within Restructuring expense in the Condensed Consolidated Statements of Operations and Comprehensive Loss.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Roboto;sans-serif" w:hAnsi="Roboto;sans-serif"/>
          <w:b/>
          <w:color w:val="000000"/>
          <w:sz w:val="18"/>
        </w:rPr>
      </w:pPr>
      <w:r>
        <w:rPr>
          <w:rFonts w:ascii="Roboto;sans-serif" w:hAnsi="Roboto;sans-serif"/>
          <w:b/>
          <w:color w:val="000000"/>
          <w:sz w:val="18"/>
        </w:rPr>
        <w:t>10. Income Taxes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recorded a provision from income taxes of $0.8 million and $3.5 million for the three and nine months ended March 31, 2023, respectively, and a provision of $2.1 million and $7.5 million for the three and nine months ended March 31, 2022, respectively. Furthermore, the Company's effective tax rates were (0.30)% and (0.35)% for the three and nine months ended March 31, 2023, respectively, and (0.27)% and (0.48)% for the three and nine months ended March 31, 2022, respectively. The income tax provision and the effective tax rate are primarily driven by state and international taxes.</w:t>
      </w:r>
    </w:p>
    <w:p>
      <w:pPr>
        <w:pStyle w:val="TextBody"/>
        <w:spacing w:before="0" w:after="0"/>
        <w:rPr/>
      </w:pPr>
      <w:r>
        <w:rPr/>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The Company maintains a valuation allowance on the majority of its deferred tax assets as it has concluded that it is more likely than not that the deferred assets will not be utilized.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Roboto;sans-serif" w:hAnsi="Roboto;sans-serif"/>
          <w:b/>
          <w:color w:val="000000"/>
          <w:sz w:val="18"/>
        </w:rPr>
      </w:pPr>
      <w:r>
        <w:rPr>
          <w:rFonts w:ascii="Roboto;sans-serif" w:hAnsi="Roboto;sans-serif"/>
          <w:b/>
          <w:color w:val="000000"/>
          <w:sz w:val="18"/>
        </w:rPr>
        <w:t>11. Net Loss Per Share</w:t>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The computation of loss per share is as follows:</w:t>
      </w:r>
    </w:p>
    <w:tbl>
      <w:tblPr>
        <w:tblW w:w="10205" w:type="dxa"/>
        <w:jc w:val="left"/>
        <w:tblInd w:w="0" w:type="dxa"/>
        <w:tblCellMar>
          <w:top w:w="28" w:type="dxa"/>
          <w:left w:w="28" w:type="dxa"/>
          <w:bottom w:w="28" w:type="dxa"/>
          <w:right w:w="28" w:type="dxa"/>
        </w:tblCellMar>
      </w:tblPr>
      <w:tblGrid>
        <w:gridCol w:w="1457"/>
        <w:gridCol w:w="860"/>
        <w:gridCol w:w="863"/>
        <w:gridCol w:w="325"/>
        <w:gridCol w:w="1041"/>
        <w:gridCol w:w="124"/>
        <w:gridCol w:w="124"/>
        <w:gridCol w:w="124"/>
        <w:gridCol w:w="124"/>
        <w:gridCol w:w="325"/>
        <w:gridCol w:w="1041"/>
        <w:gridCol w:w="124"/>
        <w:gridCol w:w="109"/>
        <w:gridCol w:w="109"/>
        <w:gridCol w:w="109"/>
        <w:gridCol w:w="273"/>
        <w:gridCol w:w="1093"/>
        <w:gridCol w:w="112"/>
        <w:gridCol w:w="112"/>
        <w:gridCol w:w="112"/>
        <w:gridCol w:w="112"/>
        <w:gridCol w:w="273"/>
        <w:gridCol w:w="1093"/>
        <w:gridCol w:w="166"/>
      </w:tblGrid>
      <w:tr>
        <w:trPr/>
        <w:tc>
          <w:tcPr>
            <w:tcW w:w="145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5"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in millions except per share amounts)</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and diluted loss per share:</w:t>
            </w:r>
          </w:p>
        </w:tc>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attributable to common stockholders</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Shares used in computation:</w:t>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350,426,631 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333,864,579 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343,753,996 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317,245,844 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and diluted loss per share</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(4.96)</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Basic and diluted loss per share are the same for each class of common stock because they are entitled to the same liquidation and dividend rights.</w:t>
      </w:r>
    </w:p>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potentially dilutive shares were not included in the calculation of diluted shares outstanding as the effect would have been anti-dilutive:</w:t>
      </w:r>
    </w:p>
    <w:tbl>
      <w:tblPr>
        <w:tblW w:w="10205" w:type="dxa"/>
        <w:jc w:val="left"/>
        <w:tblInd w:w="0" w:type="dxa"/>
        <w:tblCellMar>
          <w:top w:w="28" w:type="dxa"/>
          <w:left w:w="28" w:type="dxa"/>
          <w:bottom w:w="28" w:type="dxa"/>
          <w:right w:w="28" w:type="dxa"/>
        </w:tblCellMar>
      </w:tblPr>
      <w:tblGrid>
        <w:gridCol w:w="950"/>
        <w:gridCol w:w="798"/>
        <w:gridCol w:w="804"/>
        <w:gridCol w:w="953"/>
        <w:gridCol w:w="325"/>
        <w:gridCol w:w="224"/>
        <w:gridCol w:w="224"/>
        <w:gridCol w:w="224"/>
        <w:gridCol w:w="224"/>
        <w:gridCol w:w="953"/>
        <w:gridCol w:w="325"/>
        <w:gridCol w:w="224"/>
        <w:gridCol w:w="109"/>
        <w:gridCol w:w="109"/>
        <w:gridCol w:w="109"/>
        <w:gridCol w:w="890"/>
        <w:gridCol w:w="356"/>
        <w:gridCol w:w="213"/>
        <w:gridCol w:w="213"/>
        <w:gridCol w:w="213"/>
        <w:gridCol w:w="213"/>
        <w:gridCol w:w="890"/>
        <w:gridCol w:w="356"/>
        <w:gridCol w:w="306"/>
      </w:tblGrid>
      <w:tr>
        <w:trPr/>
        <w:tc>
          <w:tcPr>
            <w:tcW w:w="950"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2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2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6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Employee stock options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14,528,761 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31,148,210 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15,112,571 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42,008,515 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stock units and awards</w:t>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3,699,225 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154,564 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1,550,174 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219,810 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Shares estimated to be purchased under ESPP</w:t>
            </w:r>
          </w:p>
        </w:tc>
        <w:tc>
          <w:tcPr>
            <w:tcW w:w="12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37,826 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2"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9" w:type="dxa"/>
            <w:gridSpan w:val="3"/>
            <w:tcBorders/>
            <w:shd w:fill="auto" w:val="clear"/>
            <w:vAlign w:val="center"/>
          </w:tcPr>
          <w:p>
            <w:pPr>
              <w:pStyle w:val="TableContents"/>
              <w:spacing w:before="0" w:after="283"/>
              <w:rPr>
                <w:sz w:val="4"/>
                <w:szCs w:val="4"/>
              </w:rPr>
            </w:pPr>
            <w:r>
              <w:rPr>
                <w:sz w:val="4"/>
                <w:szCs w:val="4"/>
              </w:rPr>
            </w:r>
          </w:p>
        </w:tc>
        <w:tc>
          <w:tcPr>
            <w:tcW w:w="639" w:type="dxa"/>
            <w:gridSpan w:val="3"/>
            <w:tcBorders/>
            <w:shd w:fill="auto" w:val="clear"/>
            <w:vAlign w:val="center"/>
          </w:tcPr>
          <w:p>
            <w:pPr>
              <w:pStyle w:val="TableContents"/>
              <w:spacing w:before="0" w:after="283"/>
              <w:rPr>
                <w:sz w:val="4"/>
                <w:szCs w:val="4"/>
              </w:rPr>
            </w:pPr>
            <w:r>
              <w:rPr>
                <w:sz w:val="4"/>
                <w:szCs w:val="4"/>
              </w:rPr>
            </w:r>
          </w:p>
        </w:tc>
        <w:tc>
          <w:tcPr>
            <w:tcW w:w="1552" w:type="dxa"/>
            <w:gridSpan w:val="3"/>
            <w:tcBorders/>
            <w:shd w:fill="auto" w:val="clear"/>
            <w:vAlign w:val="center"/>
          </w:tcPr>
          <w:p>
            <w:pPr>
              <w:pStyle w:val="TableContents"/>
              <w:spacing w:before="0" w:after="283"/>
              <w:rPr>
                <w:sz w:val="4"/>
                <w:szCs w:val="4"/>
              </w:rPr>
            </w:pPr>
            <w:r>
              <w:rPr>
                <w:sz w:val="4"/>
                <w:szCs w:val="4"/>
              </w:rPr>
            </w:r>
          </w:p>
        </w:tc>
      </w:tr>
      <w:tr>
        <w:trPr/>
        <w:tc>
          <w:tcPr>
            <w:tcW w:w="2552"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9" w:type="dxa"/>
            <w:gridSpan w:val="3"/>
            <w:tcBorders/>
            <w:shd w:fill="auto" w:val="clear"/>
            <w:vAlign w:val="center"/>
          </w:tcPr>
          <w:p>
            <w:pPr>
              <w:pStyle w:val="TableContents"/>
              <w:spacing w:before="0" w:after="283"/>
              <w:rPr>
                <w:sz w:val="4"/>
                <w:szCs w:val="4"/>
              </w:rPr>
            </w:pPr>
            <w:r>
              <w:rPr>
                <w:sz w:val="4"/>
                <w:szCs w:val="4"/>
              </w:rPr>
            </w:r>
          </w:p>
        </w:tc>
        <w:tc>
          <w:tcPr>
            <w:tcW w:w="639" w:type="dxa"/>
            <w:gridSpan w:val="3"/>
            <w:tcBorders/>
            <w:shd w:fill="auto" w:val="clear"/>
            <w:vAlign w:val="center"/>
          </w:tcPr>
          <w:p>
            <w:pPr>
              <w:pStyle w:val="TableContents"/>
              <w:spacing w:before="0" w:after="283"/>
              <w:rPr>
                <w:sz w:val="4"/>
                <w:szCs w:val="4"/>
              </w:rPr>
            </w:pPr>
            <w:r>
              <w:rPr>
                <w:sz w:val="4"/>
                <w:szCs w:val="4"/>
              </w:rPr>
            </w:r>
          </w:p>
        </w:tc>
        <w:tc>
          <w:tcPr>
            <w:tcW w:w="155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Impact of the Notes</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The Company expects to settle the principal amount of the Notes in cash upon conversion, and therefore, the Company uses the if-converted method for calculating any potential dilutive effect of the conversion option on diluted net income per share, if applicable. The conversion option will have a dilutive impact on net income per share of Common Stock when the average market price per share of the Company's Class A Common Stock for a given period exceeds the conversion price of the Notes of $239.23 per share. During the three and nine months ended March 31, 2023, the weighted average price per share of the Company's Class A Common Stock was below the conversion price of the Notes.</w:t>
      </w:r>
    </w:p>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v:rect>
            </w:pict>
          </mc:Fallback>
        </mc:AlternateContent>
      </w:r>
    </w:p>
    <w:p>
      <w:pPr>
        <w:pStyle w:val="TextBody"/>
        <w:spacing w:before="0" w:after="0"/>
        <w:jc w:val="center"/>
        <w:rPr/>
      </w:pPr>
      <w:r>
        <w:rPr/>
      </w:r>
    </w:p>
    <w:p>
      <w:pPr>
        <w:pStyle w:val="TextBody"/>
        <w:spacing w:lineRule="auto" w:line="288" w:before="240" w:after="240"/>
        <w:rPr>
          <w:rFonts w:ascii="Roboto;sans-serif" w:hAnsi="Roboto;sans-serif"/>
          <w:b/>
          <w:color w:val="000000"/>
          <w:sz w:val="18"/>
        </w:rPr>
      </w:pPr>
      <w:r>
        <w:rPr>
          <w:rFonts w:ascii="Roboto;sans-serif" w:hAnsi="Roboto;sans-serif"/>
          <w:b/>
          <w:color w:val="000000"/>
          <w:sz w:val="18"/>
        </w:rPr>
        <w:t>12. Segment Information</w:t>
      </w:r>
    </w:p>
    <w:p>
      <w:pPr>
        <w:pStyle w:val="TextBody"/>
        <w:spacing w:lineRule="auto" w:line="288" w:before="0" w:after="0"/>
        <w:jc w:val="both"/>
        <w:rPr/>
      </w:pPr>
      <w:r>
        <w:rPr>
          <w:rFonts w:ascii="Roboto;sans-serif" w:hAnsi="Roboto;sans-serif"/>
          <w:b w:val="false"/>
          <w:color w:val="000000"/>
          <w:sz w:val="18"/>
        </w:rPr>
        <w:t>The Company applies ASC 280, </w:t>
      </w:r>
      <w:r>
        <w:rPr>
          <w:rFonts w:ascii="Roboto;sans-serif" w:hAnsi="Roboto;sans-serif"/>
          <w:b w:val="false"/>
          <w:i/>
          <w:color w:val="000000"/>
          <w:sz w:val="18"/>
        </w:rPr>
        <w:t>Segment Reporting</w:t>
      </w:r>
      <w:r>
        <w:rPr>
          <w:rFonts w:ascii="Roboto;sans-serif" w:hAnsi="Roboto;sans-serif"/>
          <w:b w:val="false"/>
          <w:color w:val="000000"/>
          <w:sz w:val="18"/>
        </w:rPr>
        <w:t xml:space="preserve">,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No operating segments have been aggregated to form the reportable segments. The Company does not allocate assets at the reportable segment level as these are managed on an entity wide group basis and, accordingly, the Company does not report asset information by segment.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pStyle w:val="TextBody"/>
        <w:spacing w:before="0" w:after="0"/>
        <w:jc w:val="both"/>
        <w:rPr/>
      </w:pPr>
      <w:r>
        <w:rPr/>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Key financial performance measures of the segments including Revenue, Cost of revenue, and Gross profit are as follows:</w:t>
      </w:r>
    </w:p>
    <w:tbl>
      <w:tblPr>
        <w:tblW w:w="9514" w:type="dxa"/>
        <w:jc w:val="left"/>
        <w:tblInd w:w="0" w:type="dxa"/>
        <w:tblCellMar>
          <w:top w:w="28" w:type="dxa"/>
          <w:left w:w="28" w:type="dxa"/>
          <w:bottom w:w="28" w:type="dxa"/>
          <w:right w:w="28" w:type="dxa"/>
        </w:tblCellMar>
      </w:tblPr>
      <w:tblGrid>
        <w:gridCol w:w="978"/>
        <w:gridCol w:w="860"/>
        <w:gridCol w:w="862"/>
        <w:gridCol w:w="308"/>
        <w:gridCol w:w="963"/>
        <w:gridCol w:w="148"/>
        <w:gridCol w:w="148"/>
        <w:gridCol w:w="148"/>
        <w:gridCol w:w="148"/>
        <w:gridCol w:w="308"/>
        <w:gridCol w:w="963"/>
        <w:gridCol w:w="148"/>
        <w:gridCol w:w="109"/>
        <w:gridCol w:w="109"/>
        <w:gridCol w:w="109"/>
        <w:gridCol w:w="257"/>
        <w:gridCol w:w="1010"/>
        <w:gridCol w:w="124"/>
        <w:gridCol w:w="124"/>
        <w:gridCol w:w="124"/>
        <w:gridCol w:w="124"/>
        <w:gridCol w:w="257"/>
        <w:gridCol w:w="1010"/>
        <w:gridCol w:w="175"/>
      </w:tblGrid>
      <w:tr>
        <w:trPr/>
        <w:tc>
          <w:tcPr>
            <w:tcW w:w="97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594.4 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909.8 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1,891.9 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662.3 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1,025.8 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1,848.1 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Subscription:</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1,248.3 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1,011.6 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136.9 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838.5 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Consolidated:</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2,158.1 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2,903.4 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780.1 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1,435.6 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2,175.3 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0" w:after="0"/>
        <w:rPr>
          <w:rFonts w:ascii="Roboto;sans-serif" w:hAnsi="Roboto;sans-serif"/>
          <w:b/>
          <w:i/>
          <w:color w:val="000000"/>
          <w:sz w:val="18"/>
          <w:highlight w:val="white"/>
        </w:rPr>
      </w:pPr>
      <w:r>
        <w:rPr>
          <w:rFonts w:ascii="Roboto;sans-serif" w:hAnsi="Roboto;sans-serif"/>
          <w:b/>
          <w:i/>
          <w:color w:val="000000"/>
          <w:sz w:val="18"/>
          <w:highlight w:val="white"/>
        </w:rPr>
        <w:t>Reconciliation of Gross Profit</w:t>
      </w:r>
    </w:p>
    <w:p>
      <w:pPr>
        <w:pStyle w:val="TextBody"/>
        <w:spacing w:lineRule="auto" w:line="288" w:before="0" w:after="240"/>
        <w:rPr>
          <w:rFonts w:ascii="Roboto;sans-serif" w:hAnsi="Roboto;sans-serif"/>
          <w:b w:val="false"/>
          <w:color w:val="000000"/>
          <w:sz w:val="18"/>
          <w:highlight w:val="white"/>
        </w:rPr>
      </w:pPr>
      <w:r>
        <w:rPr>
          <w:rFonts w:ascii="Roboto;sans-serif" w:hAnsi="Roboto;sans-serif"/>
          <w:b w:val="false"/>
          <w:color w:val="000000"/>
          <w:sz w:val="18"/>
          <w:highlight w:val="white"/>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tbl>
      <w:tblPr>
        <w:tblW w:w="10205" w:type="dxa"/>
        <w:jc w:val="left"/>
        <w:tblInd w:w="0" w:type="dxa"/>
        <w:tblCellMar>
          <w:top w:w="28" w:type="dxa"/>
          <w:left w:w="28" w:type="dxa"/>
          <w:bottom w:w="28" w:type="dxa"/>
          <w:right w:w="28" w:type="dxa"/>
        </w:tblCellMar>
      </w:tblPr>
      <w:tblGrid>
        <w:gridCol w:w="1273"/>
        <w:gridCol w:w="1098"/>
        <w:gridCol w:w="1102"/>
        <w:gridCol w:w="281"/>
        <w:gridCol w:w="989"/>
        <w:gridCol w:w="135"/>
        <w:gridCol w:w="135"/>
        <w:gridCol w:w="135"/>
        <w:gridCol w:w="135"/>
        <w:gridCol w:w="281"/>
        <w:gridCol w:w="989"/>
        <w:gridCol w:w="135"/>
        <w:gridCol w:w="109"/>
        <w:gridCol w:w="109"/>
        <w:gridCol w:w="109"/>
        <w:gridCol w:w="240"/>
        <w:gridCol w:w="1035"/>
        <w:gridCol w:w="115"/>
        <w:gridCol w:w="115"/>
        <w:gridCol w:w="115"/>
        <w:gridCol w:w="115"/>
        <w:gridCol w:w="240"/>
        <w:gridCol w:w="1035"/>
        <w:gridCol w:w="180"/>
      </w:tblGrid>
      <w:tr>
        <w:trPr/>
        <w:tc>
          <w:tcPr>
            <w:tcW w:w="1273"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3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4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Segment Gross Profit </w:t>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(154.6)</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(227.7)</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(510.4)</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(860.8)</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(249.2)</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(242.3)</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(731.3)</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(78.2)</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(77.1)</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(274.6)</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(167.9)</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(275.2)</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(755.0)</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(1,565.0)</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v:rect>
            </w:pict>
          </mc:Fallback>
        </mc:AlternateContent>
      </w:r>
    </w:p>
    <w:p>
      <w:pPr>
        <w:pStyle w:val="TextBody"/>
        <w:spacing w:before="0" w:after="0"/>
        <w:jc w:val="center"/>
        <w:rPr/>
      </w:pPr>
      <w:r>
        <w:rPr/>
      </w:r>
    </w:p>
    <w:p>
      <w:pPr>
        <w:pStyle w:val="TextBody"/>
        <w:spacing w:lineRule="auto" w:line="417" w:before="0" w:after="0"/>
        <w:rPr>
          <w:rFonts w:ascii="Roboto;sans-serif" w:hAnsi="Roboto;sans-serif"/>
          <w:b/>
          <w:color w:val="000000"/>
          <w:sz w:val="18"/>
        </w:rPr>
      </w:pPr>
      <w:r>
        <w:rPr>
          <w:rFonts w:ascii="Roboto;sans-serif" w:hAnsi="Roboto;sans-serif"/>
          <w:b/>
          <w:color w:val="000000"/>
          <w:sz w:val="18"/>
        </w:rPr>
        <w:t>Item 2. Management’s Discussion and Analysis of Financial Condition and Results of Operations</w:t>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2022, filed with the SEC on September 7, 2022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40" w:after="240"/>
        <w:jc w:val="center"/>
        <w:rPr>
          <w:rFonts w:ascii="Roboto;sans-serif" w:hAnsi="Roboto;sans-serif"/>
          <w:b/>
          <w:color w:val="000000"/>
          <w:sz w:val="18"/>
        </w:rPr>
      </w:pPr>
      <w:r>
        <w:rPr>
          <w:rFonts w:ascii="Roboto;sans-serif" w:hAnsi="Roboto;sans-serif"/>
          <w:b/>
          <w:color w:val="000000"/>
          <w:sz w:val="18"/>
        </w:rPr>
        <w:t>Overview</w:t>
      </w:r>
    </w:p>
    <w:p>
      <w:pPr>
        <w:pStyle w:val="TextBody"/>
        <w:spacing w:lineRule="auto" w:line="288" w:before="0" w:after="0"/>
        <w:jc w:val="both"/>
        <w:rPr/>
      </w:pPr>
      <w:r>
        <w:rPr>
          <w:rFonts w:ascii="Roboto;sans-serif" w:hAnsi="Roboto;sans-serif"/>
          <w:b w:val="false"/>
          <w:color w:val="050505"/>
          <w:sz w:val="18"/>
          <w:highlight w:val="white"/>
        </w:rPr>
        <w:t>Peloton is the largest interactive fitness platform in the world with a loyal community of</w:t>
      </w:r>
      <w:r>
        <w:rPr>
          <w:color w:val="050505"/>
        </w:rPr>
        <w:t xml:space="preserve"> </w:t>
      </w:r>
      <w:r>
        <w:rPr>
          <w:rFonts w:ascii="Roboto;sans-serif" w:hAnsi="Roboto;sans-serif"/>
          <w:b w:val="false"/>
          <w:color w:val="050505"/>
          <w:sz w:val="18"/>
        </w:rPr>
        <w:t>6.7 million Members</w:t>
      </w:r>
      <w:r>
        <w:rPr>
          <w:color w:val="050505"/>
          <w:highlight w:val="white"/>
        </w:rPr>
        <w:t xml:space="preserve"> </w:t>
      </w:r>
      <w:r>
        <w:rPr>
          <w:rFonts w:ascii="Roboto;sans-serif" w:hAnsi="Roboto;sans-serif"/>
          <w:b w:val="false"/>
          <w:color w:val="050505"/>
          <w:sz w:val="18"/>
          <w:highlight w:val="white"/>
        </w:rPr>
        <w:t xml:space="preserve">as of March 31, 2023.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All-Access Membership, or a paid Peloton App subscription. </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50505"/>
          <w:sz w:val="18"/>
          <w:highlight w:val="white"/>
        </w:rPr>
        <w:t>Our Connected Fitness Product portfolio includes the Peloton Bike, Bike+, Tread, Tread+, Guide, and Row. Our revenue is generated primarily from recurring Subscription revenue and the sale of our Connected Fitness Products</w:t>
      </w:r>
      <w:r>
        <w:rPr>
          <w:rFonts w:ascii="Roboto;sans-serif" w:hAnsi="Roboto;sans-serif"/>
          <w:b w:val="false"/>
          <w:color w:val="050505"/>
          <w:sz w:val="18"/>
        </w:rPr>
        <w:t xml:space="preserve">. We have historically experienced significant growth in sales of our Connected Fitness Products, which, when combined with our low Average Net Monthly Connected Fitness Churn has led to significant growth in Connected Fitness Subscriptions. </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50505"/>
          <w:sz w:val="18"/>
        </w:rPr>
        <w:t>Our financial profile has been characterized by strong retention, recurring revenue, and efficient customer acquisition. O</w:t>
      </w:r>
      <w:r>
        <w:rPr>
          <w:rFonts w:ascii="Roboto;sans-serif" w:hAnsi="Roboto;sans-serif"/>
          <w:b w:val="false"/>
          <w:color w:val="050505"/>
          <w:sz w:val="18"/>
          <w:highlight w:val="white"/>
        </w:rPr>
        <w:t>ur low Average Net Monthly Connected Fitness Churn, together with our high Subscription Contribution Margin, yields an attractive lifetime value (LTV) for our Connected Fitness Subscriptions well in excess of our customer acquisition cost (CAC). Maintaining an attractive LTV/CAC ratio is a primary goal of our customer acquisition strategy.</w:t>
      </w:r>
    </w:p>
    <w:p>
      <w:pPr>
        <w:pStyle w:val="TextBody"/>
        <w:spacing w:before="45" w:after="283"/>
        <w:jc w:val="both"/>
        <w:rPr/>
      </w:pPr>
      <w:r>
        <w:rPr/>
      </w:r>
    </w:p>
    <w:p>
      <w:pPr>
        <w:pStyle w:val="TextBody"/>
        <w:spacing w:lineRule="auto" w:line="417" w:before="0" w:after="0"/>
        <w:jc w:val="both"/>
        <w:rPr>
          <w:rFonts w:ascii="Roboto;sans-serif" w:hAnsi="Roboto;sans-serif"/>
          <w:b/>
          <w:color w:val="050505"/>
          <w:sz w:val="18"/>
        </w:rPr>
      </w:pPr>
      <w:r>
        <w:rPr>
          <w:rFonts w:ascii="Roboto;sans-serif" w:hAnsi="Roboto;sans-serif"/>
          <w:b/>
          <w:color w:val="050505"/>
          <w:sz w:val="18"/>
        </w:rPr>
        <w:t>Third Quarter Fiscal 2023 Update and Recent Developments</w:t>
      </w:r>
    </w:p>
    <w:p>
      <w:pPr>
        <w:pStyle w:val="TextBody"/>
        <w:spacing w:lineRule="auto" w:line="288" w:before="0" w:after="0"/>
        <w:jc w:val="both"/>
        <w:rPr/>
      </w:pPr>
      <w:r>
        <w:rPr>
          <w:rFonts w:ascii="Roboto;sans-serif" w:hAnsi="Roboto;sans-serif"/>
          <w:b w:val="false"/>
          <w:color w:val="050505"/>
          <w:sz w:val="18"/>
        </w:rPr>
        <w:t xml:space="preserve">As we have previously disclosed, forecasting for our business during and following the COVID-19 pandemic has proven to be very challenging. Although our belief in the positive long-term outlook for Connected Fitness remains unchanged, the long-term cost demands of our business require us to recalibrate our near-term expectations. Additionally, while demand for our Connected Fitness Products has continued to strongly outpace pre-pandemic levels, we have had significant difficulty in forecasting near-term consumer demand and, as a result, our expected near-term operating performance. </w:t>
      </w:r>
      <w:r>
        <w:rPr>
          <w:rFonts w:ascii="Roboto;sans-serif" w:hAnsi="Roboto;sans-serif"/>
          <w:b w:val="false"/>
          <w:color w:val="000000"/>
          <w:sz w:val="18"/>
        </w:rPr>
        <w:t xml:space="preserve">See </w:t>
      </w:r>
      <w:r>
        <w:rPr>
          <w:color w:val="000000"/>
        </w:rPr>
        <w:t>“</w:t>
      </w:r>
      <w:r>
        <w:rPr>
          <w:rFonts w:ascii="Roboto;sans-serif" w:hAnsi="Roboto;sans-serif"/>
          <w:b w:val="false"/>
          <w:i/>
          <w:color w:val="000000"/>
          <w:sz w:val="18"/>
        </w:rPr>
        <w:t>Risk Factors—Risks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r>
        <w:rPr>
          <w:color w:val="050505"/>
        </w:rPr>
        <w:t xml:space="preserve"> </w:t>
      </w:r>
    </w:p>
    <w:p>
      <w:pPr>
        <w:pStyle w:val="TextBody"/>
        <w:spacing w:before="0" w:after="0"/>
        <w:jc w:val="both"/>
        <w:rPr/>
      </w:pPr>
      <w:r>
        <w:rPr/>
      </w:r>
    </w:p>
    <w:p>
      <w:pPr>
        <w:pStyle w:val="TextBody"/>
        <w:spacing w:lineRule="auto" w:line="417" w:before="0" w:after="0"/>
        <w:jc w:val="both"/>
        <w:rPr>
          <w:rFonts w:ascii="Roboto;sans-serif" w:hAnsi="Roboto;sans-serif"/>
          <w:b w:val="false"/>
          <w:color w:val="000000"/>
          <w:sz w:val="18"/>
          <w:u w:val="single"/>
        </w:rPr>
      </w:pPr>
      <w:r>
        <w:rPr>
          <w:rFonts w:ascii="Roboto;sans-serif" w:hAnsi="Roboto;sans-serif"/>
          <w:b w:val="false"/>
          <w:color w:val="000000"/>
          <w:sz w:val="18"/>
          <w:u w:val="single"/>
        </w:rPr>
        <w:t>Product and Content Highlights</w:t>
      </w:r>
    </w:p>
    <w:p>
      <w:pPr>
        <w:pStyle w:val="TextBody"/>
        <w:spacing w:lineRule="auto" w:line="288" w:before="0" w:after="0"/>
        <w:jc w:val="both"/>
        <w:rPr/>
      </w:pPr>
      <w:r>
        <w:rPr>
          <w:rFonts w:ascii="Roboto;sans-serif" w:hAnsi="Roboto;sans-serif"/>
          <w:b/>
          <w:color w:val="000000"/>
          <w:sz w:val="18"/>
        </w:rPr>
        <w:t xml:space="preserve">Hardware/Software: </w:t>
      </w:r>
      <w:r>
        <w:rPr>
          <w:rFonts w:ascii="Roboto;sans-serif" w:hAnsi="Roboto;sans-serif"/>
          <w:b w:val="false"/>
          <w:color w:val="000000"/>
          <w:sz w:val="18"/>
        </w:rPr>
        <w:t>In February we were pleased to introduce our Peloton Tread to the Australian market, completing our international roll-out. Our software investments across the Peloton platform continue to make it easier for Members to navigate our thousands of diverse classes and more easily find a great workout. In the three months ended March 31, 2023, we improved class search query results on Bike, Tread, and Row and continued to streamline the experience of taking multiple consecutive classes. We have also invested in further personalization of the Peloton home-screen, so that each Member sees content they are likely to enjoy based on their workout history.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Tread, Row, and Guide are delivering the best user experience for their respective modalities. On Tread, we launched Run Achievements, celebrating running and walking specific milestones like your fastest mile, and improved Auto-Incline to make it easier to follow hill workouts. On Row, we launched the innovative Tips and Praise features, which leverages our deep hardware-software integration to give rowers actionable feedback on their rowing form in real time. And on Guide, we paired our ongoing improvement of Rep and Weight Tracking with some of the most Member-requested fixes, including more Rep Tracking classes and improved remote connectivity.</w:t>
      </w:r>
    </w:p>
    <w:p>
      <w:pPr>
        <w:pStyle w:val="TextBody"/>
        <w:spacing w:before="0" w:after="0"/>
        <w:rPr/>
      </w:pPr>
      <w:r>
        <w:rPr/>
      </w:r>
    </w:p>
    <w:p>
      <w:pPr>
        <w:pStyle w:val="TextBody"/>
        <w:spacing w:lineRule="auto" w:line="288" w:before="0" w:after="0"/>
        <w:jc w:val="both"/>
        <w:rPr/>
      </w:pPr>
      <w:r>
        <w:rPr>
          <w:rFonts w:ascii="Roboto;sans-serif" w:hAnsi="Roboto;sans-serif"/>
          <w:b/>
          <w:color w:val="000000"/>
          <w:sz w:val="18"/>
        </w:rPr>
        <w:t xml:space="preserve">Content: </w:t>
      </w:r>
      <w:r>
        <w:rPr>
          <w:rFonts w:ascii="Roboto;sans-serif" w:hAnsi="Roboto;sans-serif"/>
          <w:b w:val="false"/>
          <w:color w:val="000000"/>
          <w:sz w:val="18"/>
        </w:rPr>
        <w:t xml:space="preserve">Peloton Programs offer structured class collections designed to meet specific Member goals and have been enthusiastically embraced by our Members. Program exclusive workouts were up 97% as compared to the three months ended December 31, 2022 across over 625 Program-exclusive classes. Leveraging this success and in pursuit of greater levels of content personalization, during the three months ended March 31, 2023, we launched Beginner Pilates with Kristin McGee, German language versions of Beginner Yoga and You Can Ride, Straight to the Core with Rebecca Kennedy, and Ben Alldis's Stronger You. Looking ahead, the focus of our Program development will be further expansion of our Strength &amp; Floor fitness modalities. In support of our new Peloton Row, in the three months ended March 31, 2023, we launched Live Row classes and Guided Scenic classes in San Diego. </w:t>
      </w:r>
    </w:p>
    <w:p>
      <w:pPr>
        <w:pStyle w:val="TextBody"/>
        <w:spacing w:before="0" w:after="0"/>
        <w:jc w:val="both"/>
        <w:rPr/>
      </w:pPr>
      <w:r>
        <w:rPr/>
      </w:r>
    </w:p>
    <w:p>
      <w:pPr>
        <w:pStyle w:val="TextBody"/>
        <w:spacing w:lineRule="auto" w:line="288" w:before="0" w:after="0"/>
        <w:jc w:val="both"/>
        <w:rPr/>
      </w:pPr>
      <w:r>
        <w:rPr>
          <w:rFonts w:ascii="Roboto;sans-serif" w:hAnsi="Roboto;sans-serif"/>
          <w:b/>
          <w:color w:val="000000"/>
          <w:sz w:val="18"/>
        </w:rPr>
        <w:t xml:space="preserve">Subsequent to quarter's end: </w:t>
      </w:r>
      <w:r>
        <w:rPr>
          <w:rFonts w:ascii="Roboto;sans-serif" w:hAnsi="Roboto;sans-serif"/>
          <w:b w:val="false"/>
          <w:color w:val="000000"/>
          <w:sz w:val="18"/>
        </w:rPr>
        <w:t>We continue our work on third-party device integrations, and in April, we announced that Peloton Connected Fitness hardware will now automatically integrate with smartwatches from Samsung, Google, Fossil, and other manufacturers using Wear OS 3. That includes not only Peloton’s bikes and treadmill but also our rower and Guide strength training system.</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April 5th, we announced the expansion of our industry-first partnership with Hilton to equip nearly every Hilton portfolio hotel in Canada, Germany and the U.K. with Peloton Bikes. In addition, Hilton Honors members will receive special limited time offers for an extended Peloton App free trial and partnership pricing on Peloton Connected Fitness hardware.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Most recently, we extended our popular bike rental offering to Canada on April 25th, representing the first international expansion market for our rental program.</w:t>
      </w:r>
    </w:p>
    <w:p>
      <w:pPr>
        <w:pStyle w:val="TextBody"/>
        <w:spacing w:before="0" w:after="0"/>
        <w:jc w:val="both"/>
        <w:rPr/>
      </w:pPr>
      <w:r>
        <w:rPr/>
      </w:r>
    </w:p>
    <w:p>
      <w:pPr>
        <w:pStyle w:val="TextBody"/>
        <w:spacing w:lineRule="auto" w:line="417" w:before="0" w:after="0"/>
        <w:jc w:val="both"/>
        <w:rPr>
          <w:rFonts w:ascii="Roboto;sans-serif" w:hAnsi="Roboto;sans-serif"/>
          <w:b w:val="false"/>
          <w:color w:val="050505"/>
          <w:sz w:val="18"/>
          <w:u w:val="single"/>
        </w:rPr>
      </w:pPr>
      <w:r>
        <w:rPr>
          <w:rFonts w:ascii="Roboto;sans-serif" w:hAnsi="Roboto;sans-serif"/>
          <w:b w:val="false"/>
          <w:color w:val="050505"/>
          <w:sz w:val="18"/>
          <w:u w:val="single"/>
        </w:rPr>
        <w:t>Restructuring Plan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we announced and began implementing a restructuring plan to realign our operational focus to support our multi-year growth, scale the business, and improve costs (the “Restructuring Plan”).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 </w:t>
      </w:r>
    </w:p>
    <w:p>
      <w:pPr>
        <w:pStyle w:val="TextBody"/>
        <w:spacing w:before="0" w:after="0"/>
        <w:jc w:val="both"/>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In July 2022, August 2022 and October 2022, we took actions to update the Restructuring Plan. On July 12, 2022, we announced we are exiting all owned-manufacturing operations and our expansion of our current relationship with Taiwanese manufacturer Rexon Industrial Corp. Additionally, on August 12, 2022, we announced our decision to perform the following additional restructuring activities: (i) fully transitioning our North American Field Operations to third-party providers, including the significant reduction of our delivery workforce teams; (ii) eliminating a significant number of roles on the North America Member Support team and exiting our real-estate footprints in our Plano and Tempe locations; and (iii) reducing our retail showroom presence. On October 6, 2022, we announced approximately 500 global team member positions have been eliminated.</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charges related to the Restructuring Plan were $48.0 million and $280.2 million for the three and nine months ended March 31, 2023, respectively. Total charges for the three months ended March 31, 2023 consisted of cash charges of $6.9 million for severance and other personnel costs and $4.4 million for professional fees and other related charges, and non-cash charges of $36.0 million related to non-inventory asset write-downs and write-offs and $0.7 million for stock-based compensation expense. Total charges for the nine months ended March 31, 2023 consisted of cash charges of $68.0 million for severance and other personnel costs and $16.4 million for professional fees and other related charges, and non-cash charges of $108.6 million related to non-inventory asset write-downs and write-offs, $83.5 million for stock-based compensation expense, and $3.7 million for write-offs of inventory related to restructuring activities.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estimates that it will incur additional cash charges of approximately $20 million, primarily composed of severance and other exit costs in fiscal year 2023 and beyond. Additionally, the Company expects to recognize additional non-cash charges of approximately $35 million, primarily composed of asset impairment and stock-based compensation charges in connection with the Restructuring Plan.</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 xml:space="preserve">We may not be able to fully realize the cost savings and benefits initially anticipated from the Restructuring Plan, and the expected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spacing w:before="0" w:after="0"/>
        <w:jc w:val="both"/>
        <w:rPr/>
      </w:pPr>
      <w:r>
        <w:rPr/>
      </w:r>
    </w:p>
    <w:p>
      <w:pPr>
        <w:pStyle w:val="TextBody"/>
        <w:spacing w:lineRule="auto" w:line="417" w:before="0" w:after="0"/>
        <w:jc w:val="both"/>
        <w:rPr>
          <w:rFonts w:ascii="Roboto;sans-serif" w:hAnsi="Roboto;sans-serif"/>
          <w:b w:val="false"/>
          <w:color w:val="000000"/>
          <w:sz w:val="18"/>
          <w:u w:val="single"/>
        </w:rPr>
      </w:pPr>
      <w:r>
        <w:rPr>
          <w:rFonts w:ascii="Roboto;sans-serif" w:hAnsi="Roboto;sans-serif"/>
          <w:b w:val="false"/>
          <w:color w:val="000000"/>
          <w:sz w:val="18"/>
          <w:u w:val="single"/>
        </w:rPr>
        <w:t>Tread+ and Tread Product Recall Return Reserves and Cost Estimates</w:t>
      </w:r>
    </w:p>
    <w:p>
      <w:pPr>
        <w:pStyle w:val="TextBody"/>
        <w:spacing w:lineRule="auto" w:line="288" w:before="0" w:after="0"/>
        <w:rPr/>
      </w:pPr>
      <w:r>
        <w:rPr>
          <w:rFonts w:ascii="Roboto;sans-serif" w:hAnsi="Roboto;sans-serif"/>
          <w:b w:val="false"/>
          <w:color w:val="050505"/>
          <w:sz w:val="18"/>
        </w:rPr>
        <w:t>On May 5, 2021, we announced separate, voluntary recalls of each of our Tr</w:t>
      </w:r>
      <w:r>
        <w:rPr>
          <w:rFonts w:ascii="Roboto;sans-serif" w:hAnsi="Roboto;sans-serif"/>
          <w:b w:val="false"/>
          <w:color w:val="050505"/>
          <w:sz w:val="18"/>
          <w:highlight w:val="white"/>
        </w:rPr>
        <w:t xml:space="preserve">ead+ and Tread products in collaboration with the Consumer Product Safety Commission (the “CPSC”) and halted sales of these products to work on product enhancements. Members were notified that they could return their Tread or Tread+ for a full refund, or wait until a solution is available. Tread+ owners were also given the option to have Peloton move their Tread+ to a different location within their home. We announced a repair for the Tread in August 2021, shortly before resuming sales. We continue to work on potential hardware enhancements for Tread+, which remains recalled. </w:t>
      </w:r>
      <w:r>
        <w:rPr>
          <w:rFonts w:ascii="Roboto;sans-serif" w:hAnsi="Roboto;sans-serif"/>
          <w:b w:val="false"/>
          <w:color w:val="000000"/>
          <w:sz w:val="18"/>
          <w:highlight w:val="white"/>
        </w:rPr>
        <w:t xml:space="preserve">In December 2022, to continue our cooperation with the CPSC, we entered into a settlement agreement with the CPSC regarding matters related to the Tread+ recall. In the settlement, which was publicly announced in January 2023, we agreed to pay a $19.1 million civil penalty, resolving the CPSC’s charges that we violated the Consumer Product Safety Act (“CPSA”). We continue to work cooperatively with the CPSC to further enhance the safety of our products. </w:t>
      </w:r>
      <w:r>
        <w:rPr>
          <w:rFonts w:ascii="Roboto;sans-serif" w:hAnsi="Roboto;sans-serif"/>
          <w:b w:val="false"/>
          <w:color w:val="050505"/>
          <w:sz w:val="18"/>
          <w:highlight w:val="white"/>
        </w:rPr>
        <w:t>On October 18, 2022, we announced a one-year extension of the full refund period for our Tread+ if consumers wish to return their Tread+ pursuant to the recall. With the extension of the full refund period for one additional year, to November 6, 2023, the Company previously estimated that more Members would opt for a full refund, and accordingly increased the Company’s return reser</w:t>
      </w:r>
      <w:r>
        <w:rPr>
          <w:rFonts w:ascii="Roboto;sans-serif" w:hAnsi="Roboto;sans-serif"/>
          <w:b w:val="false"/>
          <w:color w:val="050505"/>
          <w:sz w:val="18"/>
        </w:rPr>
        <w:t xml:space="preserve">ve. </w:t>
      </w:r>
      <w:r>
        <w:rPr>
          <w:rFonts w:ascii="Roboto;sans-serif" w:hAnsi="Roboto;sans-serif"/>
          <w:b w:val="false"/>
          <w:color w:val="050505"/>
          <w:sz w:val="18"/>
          <w:highlight w:val="white"/>
        </w:rPr>
        <w:t xml:space="preserve">During the three months ended March 31, 2023, based on lower actual returns than previously estimated, the Company has updated its return reserve assumptions and decreased the Company’s return reserve. </w:t>
      </w:r>
      <w:r>
        <w:rPr>
          <w:rFonts w:ascii="Roboto;sans-serif" w:hAnsi="Roboto;sans-serif"/>
          <w:b w:val="false"/>
          <w:color w:val="050505"/>
          <w:sz w:val="18"/>
        </w:rPr>
        <w:t xml:space="preserve">For the recall-to-date period, the Company recognized a reduction to Connected Fitness Products revenue for actual and estimated future returns of $154.4 million, and return reserves of $29.3 million and $36.7 million were included within Accounts payable and accrued expenses in the Condensed Consolidated Balance Sheets as of </w:t>
      </w:r>
      <w:r>
        <w:rPr>
          <w:rFonts w:ascii="Roboto;sans-serif" w:hAnsi="Roboto;sans-serif"/>
          <w:b w:val="false"/>
          <w:color w:val="000000"/>
          <w:sz w:val="18"/>
        </w:rPr>
        <w:t xml:space="preserve">March 31, 2023 and 2022, respectively, </w:t>
      </w:r>
      <w:r>
        <w:rPr>
          <w:rFonts w:ascii="Roboto;sans-serif" w:hAnsi="Roboto;sans-serif"/>
          <w:b w:val="false"/>
          <w:color w:val="050505"/>
          <w:sz w:val="18"/>
        </w:rPr>
        <w:t xml:space="preserve">related to the impacts of the recall. </w:t>
      </w:r>
    </w:p>
    <w:p>
      <w:pPr>
        <w:pStyle w:val="TextBody"/>
        <w:spacing w:before="0" w:after="0"/>
        <w:rPr/>
      </w:pPr>
      <w:r>
        <w:rPr/>
      </w:r>
    </w:p>
    <w:p>
      <w:pPr>
        <w:pStyle w:val="TextBody"/>
        <w:spacing w:lineRule="auto" w:line="288" w:before="0" w:after="0"/>
        <w:rPr/>
      </w:pPr>
      <w:r>
        <w:rPr>
          <w:rFonts w:ascii="Roboto;sans-serif" w:hAnsi="Roboto;sans-serif"/>
          <w:b w:val="false"/>
          <w:color w:val="050505"/>
          <w:sz w:val="18"/>
        </w:rPr>
        <w:t xml:space="preserve">We may continue to incur additional costs that could include costs for which we have not accrued or established adequate reserves, including adjustments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 Our plan for the Tread+ recall is still being finalized and actual costs related to this matter may vary from the estimate, and may result in further impacts to our future results of operations and business. </w:t>
      </w:r>
      <w:r>
        <w:rPr>
          <w:rFonts w:ascii="Roboto;sans-serif" w:hAnsi="Roboto;sans-serif"/>
          <w:b w:val="false"/>
          <w:color w:val="000000"/>
          <w:sz w:val="18"/>
        </w:rPr>
        <w:t>See “</w:t>
      </w:r>
      <w:r>
        <w:rPr>
          <w:rFonts w:ascii="Roboto;sans-serif" w:hAnsi="Roboto;sans-serif"/>
          <w:b w:val="false"/>
          <w:i/>
          <w:color w:val="000000"/>
          <w:sz w:val="18"/>
        </w:rPr>
        <w:t>Risk Factors—Risks Related to Our Connected Fitness Products and Members—We may be subject to warranty claims that could result in significant direct or indirect costs, or we could experience greater product returns than expected, either of which could have an adverse effect on our business, financial condition, and operating results</w:t>
      </w:r>
      <w:r>
        <w:rPr>
          <w:color w:val="000000"/>
        </w:rPr>
        <w:t xml:space="preserve">” </w:t>
      </w:r>
      <w:r>
        <w:rPr>
          <w:rFonts w:ascii="Roboto;sans-serif" w:hAnsi="Roboto;sans-serif"/>
          <w:b w:val="false"/>
          <w:color w:val="000000"/>
          <w:sz w:val="18"/>
        </w:rPr>
        <w:t>in our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v:rect>
            </w:pict>
          </mc:Fallback>
        </mc:AlternateContent>
      </w:r>
    </w:p>
    <w:p>
      <w:pPr>
        <w:pStyle w:val="TextBody"/>
        <w:spacing w:before="0" w:after="0"/>
        <w:jc w:val="center"/>
        <w:rPr/>
      </w:pPr>
      <w:r>
        <w:rPr/>
      </w: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Key Operational and Business Metrics</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the measures presented in our interim condensed consolidated financial statements, we use the following key operational and business metrics to evaluate our business, measure our performance, develop financial forecasts, and make strategic decisions.</w:t>
      </w:r>
    </w:p>
    <w:tbl>
      <w:tblPr>
        <w:tblW w:w="7931" w:type="dxa"/>
        <w:jc w:val="left"/>
        <w:tblInd w:w="0" w:type="dxa"/>
        <w:tblCellMar>
          <w:top w:w="28" w:type="dxa"/>
          <w:left w:w="28" w:type="dxa"/>
          <w:bottom w:w="28" w:type="dxa"/>
          <w:right w:w="28" w:type="dxa"/>
        </w:tblCellMar>
      </w:tblPr>
      <w:tblGrid>
        <w:gridCol w:w="1667"/>
        <w:gridCol w:w="1465"/>
        <w:gridCol w:w="1473"/>
        <w:gridCol w:w="254"/>
        <w:gridCol w:w="896"/>
        <w:gridCol w:w="305"/>
        <w:gridCol w:w="122"/>
        <w:gridCol w:w="122"/>
        <w:gridCol w:w="122"/>
        <w:gridCol w:w="254"/>
        <w:gridCol w:w="896"/>
        <w:gridCol w:w="355"/>
      </w:tblGrid>
      <w:tr>
        <w:trPr/>
        <w:tc>
          <w:tcPr>
            <w:tcW w:w="166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3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r>
      <w:tr>
        <w:trPr/>
        <w:tc>
          <w:tcPr>
            <w:tcW w:w="460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Connected Fitness Subscriptions</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3,107,121 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2,961,767 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Average Net Monthly Connected Fitness Churn</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287.8 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252.1 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Roboto;sans-serif" w:hAnsi="Roboto;sans-serif"/>
                <w:b w:val="false"/>
                <w:color w:val="000000"/>
                <w:sz w:val="18"/>
              </w:rPr>
              <w:t>Subscription Contribution (in millions)</w:t>
            </w:r>
            <w:r>
              <w:rPr>
                <w:rFonts w:ascii="Arial;sans-serif" w:hAnsi="Arial;sans-serif"/>
                <w:b w:val="false"/>
                <w:color w:val="000000"/>
                <w:sz w:val="12"/>
              </w:rPr>
              <w:t>(1)</w:t>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307.2 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265.2 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6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Roboto;sans-serif" w:hAnsi="Roboto;sans-serif"/>
                <w:b w:val="false"/>
                <w:color w:val="000000"/>
                <w:sz w:val="18"/>
              </w:rPr>
              <w:t>Subscription Contribution Margin</w:t>
            </w:r>
            <w:r>
              <w:rPr>
                <w:rFonts w:ascii="Arial;sans-serif" w:hAnsi="Arial;sans-serif"/>
                <w:b w:val="false"/>
                <w:color w:val="000000"/>
                <w:sz w:val="12"/>
              </w:rPr>
              <w:t>(1)</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(in millions)</w:t>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Adjusted EBITDA (in millions)</w:t>
            </w:r>
            <w:r>
              <w:rPr>
                <w:rFonts w:ascii="Arial;sans-serif" w:hAnsi="Arial;sans-serif"/>
                <w:b w:val="false"/>
                <w:color w:val="000000"/>
                <w:sz w:val="12"/>
              </w:rPr>
              <w:t>(2)</w:t>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(194.0)</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Used in Operating Activities (in millions)</w:t>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(670.1)</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(3)</w:t>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(746.7)</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spacing w:lineRule="auto" w:line="288" w:before="60" w:after="60"/>
        <w:rPr>
          <w:rFonts w:ascii="Roboto;sans-serif" w:hAnsi="Roboto;sans-serif"/>
          <w:b w:val="false"/>
          <w:color w:val="000000"/>
          <w:sz w:val="14"/>
        </w:rPr>
      </w:pPr>
      <w:r>
        <w:rPr>
          <w:rFonts w:ascii="Roboto;sans-serif" w:hAnsi="Roboto;sans-serif"/>
          <w:b w:val="false"/>
          <w:color w:val="000000"/>
          <w:sz w:val="14"/>
        </w:rPr>
        <w:t>(1)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spacing w:lineRule="auto" w:line="288" w:before="60" w:after="60"/>
        <w:rPr>
          <w:rFonts w:ascii="Roboto;sans-serif" w:hAnsi="Roboto;sans-serif"/>
          <w:b w:val="false"/>
          <w:color w:val="000000"/>
          <w:sz w:val="14"/>
        </w:rPr>
      </w:pPr>
      <w:r>
        <w:rPr>
          <w:rFonts w:ascii="Roboto;sans-serif" w:hAnsi="Roboto;sans-serif"/>
          <w:b w:val="false"/>
          <w:color w:val="000000"/>
          <w:sz w:val="14"/>
        </w:rPr>
        <w:t>(2) Please see the section titled “Non-GAAP Financial Measures—Adjusted EBITDA” for a reconciliation of Net loss to Adjusted EBITDA and an explanation of why we consider Adjusted EBITDA to be a helpful measure for investors.</w:t>
      </w:r>
    </w:p>
    <w:p>
      <w:pPr>
        <w:pStyle w:val="TextBody"/>
        <w:spacing w:lineRule="auto" w:line="288" w:before="60" w:after="60"/>
        <w:rPr>
          <w:rFonts w:ascii="Roboto;sans-serif" w:hAnsi="Roboto;sans-serif"/>
          <w:b w:val="false"/>
          <w:color w:val="000000"/>
          <w:sz w:val="14"/>
        </w:rPr>
      </w:pPr>
      <w:r>
        <w:rPr>
          <w:rFonts w:ascii="Roboto;sans-serif" w:hAnsi="Roboto;sans-serif"/>
          <w:b w:val="false"/>
          <w:color w:val="000000"/>
          <w:sz w:val="14"/>
        </w:rPr>
        <w:t>(3) Please see the section titled “Non-GAAP Financial Measures—Free Cash Flow” for a reconciliation of net cash used in operating activities to Free Cash Flow and an explanation of why we consider Free Cash Flow to be a helpful measure for investors.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Connected Fitness Subscriptions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 We do not include canceled or unpaid Connected Fitness Subscriptions in the Connected Fitness Subscription count. A subscription is canceled and ceases to be reflected in the above metrics as of the effective cancellation date, which is the Member’s next scheduled billing date.</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Average Net Monthly Connected Fitness Churn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 This metric does not include data related to our Peloton App subscriptions for Members who pay a monthly fee for access to our content library on their own devices.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that is recognized over the warranty period and service revenue that is recognized over the term, and is recorded net of returns and discounts and third-party financing program fees, when applicable.</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revenue consists of revenue generated from our monthly Connected Fitness Subscription and Peloton App subscription. </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highlight w:val="white"/>
        </w:rPr>
        <w:t xml:space="preserve">As of </w:t>
      </w:r>
      <w:r>
        <w:rPr>
          <w:rFonts w:ascii="Roboto;sans-serif" w:hAnsi="Roboto;sans-serif"/>
          <w:b w:val="false"/>
          <w:color w:val="000000"/>
          <w:sz w:val="18"/>
        </w:rPr>
        <w:t>March 31, 2023, 99% and 85% o</w:t>
      </w:r>
      <w:r>
        <w:rPr>
          <w:rFonts w:ascii="Roboto;sans-serif" w:hAnsi="Roboto;sans-serif"/>
          <w:b w:val="false"/>
          <w:color w:val="000000"/>
          <w:sz w:val="18"/>
          <w:highlight w:val="white"/>
        </w:rPr>
        <w:t>f our Connected Fitness Subscription and Peloton App subscription bases were paying month-to-month, respectively.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a Connected Fitness Subscription owns a combination of a Bike, Tread, Guide or Row product in the same household, the price of the Subscription remains $44 monthly (price increased from $39 to $44 USD effective as of June 1, 2022). As of March 31, 2023, approximately 7% of our Connected Fitness Subscriptions owned both a Bike and Tread product.</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w:t>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 </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 </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 xml:space="preserve">Goodwill impairment </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Goodwill impairment consists of non-cash impairment charges relating to Goodwill. We review goodwill for impairment annually on April 1 and more frequently if events or changes in circumstances indicate that an impairment may exist. If the carrying value of the reporting unit continues to exceed its fair value, the fair value of the reporting unit’s goodwill is calculated, and an impairment loss equal to the excess is recorded.</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Supplier settlements are payments made to third-party suppliers to terminate certain future inventory purchase commitments.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v:rect>
            </w:pict>
          </mc:Fallback>
        </mc:AlternateContent>
      </w:r>
    </w:p>
    <w:p>
      <w:pPr>
        <w:pStyle w:val="TextBody"/>
        <w:spacing w:before="0" w:after="0"/>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Other (expense) income, net</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Other (expense) income, net consists of interest income (expense), unrealized and realized gains (losses) on investments, and impacts from foreign exchange transactions.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Income tax provision</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1328"/>
        <w:gridCol w:w="1138"/>
        <w:gridCol w:w="1143"/>
        <w:gridCol w:w="275"/>
        <w:gridCol w:w="957"/>
        <w:gridCol w:w="132"/>
        <w:gridCol w:w="132"/>
        <w:gridCol w:w="132"/>
        <w:gridCol w:w="132"/>
        <w:gridCol w:w="275"/>
        <w:gridCol w:w="957"/>
        <w:gridCol w:w="132"/>
        <w:gridCol w:w="109"/>
        <w:gridCol w:w="109"/>
        <w:gridCol w:w="109"/>
        <w:gridCol w:w="239"/>
        <w:gridCol w:w="1019"/>
        <w:gridCol w:w="114"/>
        <w:gridCol w:w="114"/>
        <w:gridCol w:w="114"/>
        <w:gridCol w:w="114"/>
        <w:gridCol w:w="239"/>
        <w:gridCol w:w="1019"/>
        <w:gridCol w:w="173"/>
      </w:tblGrid>
      <w:tr>
        <w:trPr/>
        <w:tc>
          <w:tcPr>
            <w:tcW w:w="1328"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3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2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0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60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659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594.4 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909.8 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1,891.9 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1,248.3 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1,011.6 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2,903.4 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1,025.8 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1,848.1 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2,175.3 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510.4 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860.8 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731.3 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2,249.4 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(735.8)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(971.3)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(1,521.2)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income, net:</w:t>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gains (losses)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(755.0)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(1,565.0)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Income tax expense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v:rect>
            </w:pict>
          </mc:Fallback>
        </mc:AlternateContent>
      </w:r>
    </w:p>
    <w:p>
      <w:pPr>
        <w:pStyle w:val="TextBody"/>
        <w:spacing w:before="0" w:after="0"/>
        <w:rPr/>
      </w:pPr>
      <w:r>
        <w:rPr/>
      </w:r>
    </w:p>
    <w:p>
      <w:pPr>
        <w:pStyle w:val="TextBody"/>
        <w:spacing w:lineRule="auto" w:line="288" w:before="60" w:after="240"/>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10205" w:type="dxa"/>
        <w:jc w:val="left"/>
        <w:tblInd w:w="0" w:type="dxa"/>
        <w:tblCellMar>
          <w:top w:w="28" w:type="dxa"/>
          <w:left w:w="28" w:type="dxa"/>
          <w:bottom w:w="28" w:type="dxa"/>
          <w:right w:w="28" w:type="dxa"/>
        </w:tblCellMar>
      </w:tblPr>
      <w:tblGrid>
        <w:gridCol w:w="1358"/>
        <w:gridCol w:w="1126"/>
        <w:gridCol w:w="1136"/>
        <w:gridCol w:w="311"/>
        <w:gridCol w:w="807"/>
        <w:gridCol w:w="149"/>
        <w:gridCol w:w="149"/>
        <w:gridCol w:w="149"/>
        <w:gridCol w:w="149"/>
        <w:gridCol w:w="311"/>
        <w:gridCol w:w="972"/>
        <w:gridCol w:w="149"/>
        <w:gridCol w:w="109"/>
        <w:gridCol w:w="109"/>
        <w:gridCol w:w="109"/>
        <w:gridCol w:w="285"/>
        <w:gridCol w:w="894"/>
        <w:gridCol w:w="137"/>
        <w:gridCol w:w="137"/>
        <w:gridCol w:w="137"/>
        <w:gridCol w:w="137"/>
        <w:gridCol w:w="285"/>
        <w:gridCol w:w="894"/>
        <w:gridCol w:w="206"/>
      </w:tblGrid>
      <w:tr>
        <w:trPr/>
        <w:tc>
          <w:tcPr>
            <w:tcW w:w="1358"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20"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2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620"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658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 xml:space="preserve">On July 1, 2022, the Compensation Committee of the Board of Directors of the Company (the “Compensation Committee”) approved accelerating the vesting requirement for unvested restricted stock units held by certain employees by one year. This applied to eligible unvested restricted stock units that had more than eight quarterly vesting dates remaining in their vesting schedule. The acceleration resulted in approximately $3.9 million and $35.6 million of stock-based compensation expense being pulled forward and recognized in the three and nine months ended March 31, 2023, respectively. Additionally, on July 1, 2022, the Compensation Committee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 </w:t>
      </w:r>
    </w:p>
    <w:p>
      <w:pPr>
        <w:pStyle w:val="TextBody"/>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spacing w:lineRule="auto" w:line="288" w:before="60" w:after="60"/>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10205" w:type="dxa"/>
        <w:jc w:val="left"/>
        <w:tblInd w:w="0" w:type="dxa"/>
        <w:tblCellMar>
          <w:top w:w="28" w:type="dxa"/>
          <w:left w:w="28" w:type="dxa"/>
          <w:bottom w:w="28" w:type="dxa"/>
          <w:right w:w="28" w:type="dxa"/>
        </w:tblCellMar>
      </w:tblPr>
      <w:tblGrid>
        <w:gridCol w:w="1421"/>
        <w:gridCol w:w="1158"/>
        <w:gridCol w:w="1168"/>
        <w:gridCol w:w="321"/>
        <w:gridCol w:w="832"/>
        <w:gridCol w:w="154"/>
        <w:gridCol w:w="154"/>
        <w:gridCol w:w="154"/>
        <w:gridCol w:w="154"/>
        <w:gridCol w:w="321"/>
        <w:gridCol w:w="832"/>
        <w:gridCol w:w="154"/>
        <w:gridCol w:w="109"/>
        <w:gridCol w:w="109"/>
        <w:gridCol w:w="109"/>
        <w:gridCol w:w="294"/>
        <w:gridCol w:w="766"/>
        <w:gridCol w:w="141"/>
        <w:gridCol w:w="141"/>
        <w:gridCol w:w="141"/>
        <w:gridCol w:w="141"/>
        <w:gridCol w:w="294"/>
        <w:gridCol w:w="923"/>
        <w:gridCol w:w="214"/>
      </w:tblGrid>
      <w:tr>
        <w:trPr/>
        <w:tc>
          <w:tcPr>
            <w:tcW w:w="142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7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7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7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645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102.4 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Three and Nine Months Ended March 31, 2023 and 2022</w:t>
      </w:r>
    </w:p>
    <w:p>
      <w:pPr>
        <w:pStyle w:val="TextBody"/>
        <w:spacing w:lineRule="auto" w:line="288" w:before="0" w:after="240"/>
        <w:jc w:val="both"/>
        <w:rPr>
          <w:rFonts w:ascii="Roboto;sans-serif" w:hAnsi="Roboto;sans-serif"/>
          <w:b/>
          <w:i/>
          <w:color w:val="000000"/>
          <w:sz w:val="18"/>
        </w:rPr>
      </w:pPr>
      <w:r>
        <w:rPr>
          <w:rFonts w:ascii="Roboto;sans-serif" w:hAnsi="Roboto;sans-serif"/>
          <w:b/>
          <w:i/>
          <w:color w:val="000000"/>
          <w:sz w:val="18"/>
        </w:rPr>
        <w:t>Revenue</w:t>
      </w:r>
    </w:p>
    <w:tbl>
      <w:tblPr>
        <w:tblW w:w="10365" w:type="dxa"/>
        <w:jc w:val="center"/>
        <w:tblInd w:w="0" w:type="dxa"/>
        <w:tblCellMar>
          <w:top w:w="28" w:type="dxa"/>
          <w:left w:w="28" w:type="dxa"/>
          <w:bottom w:w="28" w:type="dxa"/>
          <w:right w:w="28" w:type="dxa"/>
        </w:tblCellMar>
      </w:tblPr>
      <w:tblGrid>
        <w:gridCol w:w="561"/>
        <w:gridCol w:w="349"/>
        <w:gridCol w:w="351"/>
        <w:gridCol w:w="226"/>
        <w:gridCol w:w="706"/>
        <w:gridCol w:w="271"/>
        <w:gridCol w:w="109"/>
        <w:gridCol w:w="109"/>
        <w:gridCol w:w="109"/>
        <w:gridCol w:w="226"/>
        <w:gridCol w:w="706"/>
        <w:gridCol w:w="271"/>
        <w:gridCol w:w="109"/>
        <w:gridCol w:w="109"/>
        <w:gridCol w:w="109"/>
        <w:gridCol w:w="375"/>
        <w:gridCol w:w="375"/>
        <w:gridCol w:w="376"/>
        <w:gridCol w:w="109"/>
        <w:gridCol w:w="109"/>
        <w:gridCol w:w="109"/>
        <w:gridCol w:w="226"/>
        <w:gridCol w:w="886"/>
        <w:gridCol w:w="271"/>
        <w:gridCol w:w="109"/>
        <w:gridCol w:w="109"/>
        <w:gridCol w:w="109"/>
        <w:gridCol w:w="226"/>
        <w:gridCol w:w="886"/>
        <w:gridCol w:w="271"/>
        <w:gridCol w:w="109"/>
        <w:gridCol w:w="109"/>
        <w:gridCol w:w="109"/>
        <w:gridCol w:w="343"/>
        <w:gridCol w:w="343"/>
        <w:gridCol w:w="485"/>
      </w:tblGrid>
      <w:tr>
        <w:trPr/>
        <w:tc>
          <w:tcPr>
            <w:tcW w:w="56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3"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1,891.9 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(51.9)%</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1,248.3 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23.4</w:t>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(25.7)%</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v:rect>
            </w:pict>
          </mc:Fallback>
        </mc:AlternateContent>
      </w:r>
    </w:p>
    <w:p>
      <w:pPr>
        <w:pStyle w:val="TextBody"/>
        <w:spacing w:before="0" w:after="0"/>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decreased $270.3 million and $982.1 million for the three and nine months ended March 31, 2023, respectively, compared to the three and nine months ended March 31, 2022. These decreases were primarily attributable to fewer Bike, Tread and Accessory deliveries due to a return to our historical seasonality following the strong demand for home fitness in fiscal 2022 attributable to the COVID-19 pandemic. These decreases were partially offset by revenues generated from Peloton Row, which launched in the second quarter of fiscal 2023.</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revenue increased $54.8 million and $236.7 million for the three and nine months ended March 31, 2023, respectively, compared to the three and nine months ended March 31, 2022. These increases were primarily attributable to the year-over-year growth in our Connected Fitness Subscriptions and the price increase of the All-Access membership fee from $39 to $44, effective as of June 1, 2022. The growth of our Connected Fitness Subscriptions was primarily driven by the number of Connected Fitness Products delivered during the fiscal year ended June 30, 2022 and the six months ended December 31, 2022 under new Subscriptions and our low Average Net Monthly Connected Fitness Churn of 1.1% for both the three- and nine-month periods ending March 31, 2023. </w:t>
      </w:r>
    </w:p>
    <w:p>
      <w:pPr>
        <w:pStyle w:val="TextBody"/>
        <w:spacing w:before="0" w:after="0"/>
        <w:jc w:val="both"/>
        <w:rPr/>
      </w:pPr>
      <w:r>
        <w:rPr/>
      </w:r>
    </w:p>
    <w:p>
      <w:pPr>
        <w:pStyle w:val="TextBody"/>
        <w:spacing w:lineRule="auto" w:line="288" w:before="0" w:after="24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10365" w:type="dxa"/>
        <w:jc w:val="left"/>
        <w:tblInd w:w="0" w:type="dxa"/>
        <w:tblCellMar>
          <w:top w:w="28" w:type="dxa"/>
          <w:left w:w="28" w:type="dxa"/>
          <w:bottom w:w="28" w:type="dxa"/>
          <w:right w:w="28" w:type="dxa"/>
        </w:tblCellMar>
      </w:tblPr>
      <w:tblGrid>
        <w:gridCol w:w="686"/>
        <w:gridCol w:w="287"/>
        <w:gridCol w:w="288"/>
        <w:gridCol w:w="226"/>
        <w:gridCol w:w="706"/>
        <w:gridCol w:w="271"/>
        <w:gridCol w:w="109"/>
        <w:gridCol w:w="109"/>
        <w:gridCol w:w="109"/>
        <w:gridCol w:w="226"/>
        <w:gridCol w:w="706"/>
        <w:gridCol w:w="271"/>
        <w:gridCol w:w="109"/>
        <w:gridCol w:w="109"/>
        <w:gridCol w:w="109"/>
        <w:gridCol w:w="375"/>
        <w:gridCol w:w="375"/>
        <w:gridCol w:w="376"/>
        <w:gridCol w:w="109"/>
        <w:gridCol w:w="109"/>
        <w:gridCol w:w="109"/>
        <w:gridCol w:w="226"/>
        <w:gridCol w:w="886"/>
        <w:gridCol w:w="271"/>
        <w:gridCol w:w="109"/>
        <w:gridCol w:w="109"/>
        <w:gridCol w:w="109"/>
        <w:gridCol w:w="226"/>
        <w:gridCol w:w="886"/>
        <w:gridCol w:w="271"/>
        <w:gridCol w:w="109"/>
        <w:gridCol w:w="109"/>
        <w:gridCol w:w="109"/>
        <w:gridCol w:w="343"/>
        <w:gridCol w:w="343"/>
        <w:gridCol w:w="485"/>
      </w:tblGrid>
      <w:tr>
        <w:trPr/>
        <w:tc>
          <w:tcPr>
            <w:tcW w:w="68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3"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0"/>
              <w:rPr/>
            </w:pPr>
            <w:r>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(44.5)%</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25.3</w:t>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(34.0)%</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(364.9)%</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838.5 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22.5</w:t>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(0.8)%</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Margin:</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0"/>
              <w:rPr/>
            </w:pPr>
            <w:r>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0"/>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0"/>
              <w:rPr/>
            </w:pPr>
            <w:r>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60" w:after="283"/>
        <w:jc w:val="both"/>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for the three months ended March 31, 2023 decreased $320.6 million, or 48.4%, compared to the three months ended March 31, 2022. This decrease was primarily driven by fewer deliveries for the three months ended March 31, 2023 compared to the three months ended March 31,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Gross Margin increased to (5.4)% for the three months ended March 31, 2023 compared to (11.4)% for the three months ended March 31, 2022, primarily driven by lower inventory reserves and write-downs and reduced payroll expenses resulting from restructuring efforts, partially offset by net charges associated with product recall related matters.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for the three months ended March 31, 2023 increased $19.1 million, or 16.2%, compared to the three months ended March 31, 2022. This increase was primarily driven by increases of $7.8 million in music royalties and platform streaming costs, $3.3 million in stock-based compensation expense, primarily driven by the acceleration of certain restricted stock unit vesting schedules and an increased number of awards vesting, $2.9 million in depreciation and amortization expense, and $1.5 million in payment processing fees.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Gross Margin remained consistent for the three months ended March 31, 2023 compared to the three months ended March 31, 2022.</w:t>
      </w:r>
    </w:p>
    <w:p>
      <w:pPr>
        <w:pStyle w:val="TextBody"/>
        <w:spacing w:before="0" w:after="0"/>
        <w:jc w:val="both"/>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Nine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for the nine months ended March 31, 2023 decreased $822.3 million, or 44.5%, compared to the nine months ended March 31, 2022. This decrease was primarily driven by fewer deliveries for the nine months ended March 31, 2023 compared to the nine months ended March 31,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Gross Margin decreased to (12.8)% for the nine months ended March 31, 2023 compared to 2.3% for the nine months ended March 31, 2022, primarily driven by promotional pricing in place during the nine months ended March 31, 2023, as well as inventory reserves and write-downs and net charges associated with product recall related matters, partially offset by reduced payroll expenses resulting from restructuring efforts.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for the nine months ended March 31, 2023 increased $82.6 million, or 25.3%, compared to the nine months ended March 31, 2022. This increase was primarily driven by an increase of $43.1 million in music royalties and platform streaming costs. Additional increases are due to $17.4 million in stock-based compensation expense, primarily driven by the acceleration of certain restricted stock unit vesting schedules, the repricing of certain stock option awards, and an increased number of awards vesting, and $8.4 million of depreciation and amortization expense.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Gross Margin remained consistent for the nine months ended March 31, 2023 compared to the nine months ended March 31, 2022.</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10205" w:type="dxa"/>
        <w:jc w:val="left"/>
        <w:tblInd w:w="0" w:type="dxa"/>
        <w:tblCellMar>
          <w:top w:w="28" w:type="dxa"/>
          <w:left w:w="28" w:type="dxa"/>
          <w:bottom w:w="28" w:type="dxa"/>
          <w:right w:w="28" w:type="dxa"/>
        </w:tblCellMar>
      </w:tblPr>
      <w:tblGrid>
        <w:gridCol w:w="552"/>
        <w:gridCol w:w="401"/>
        <w:gridCol w:w="404"/>
        <w:gridCol w:w="230"/>
        <w:gridCol w:w="720"/>
        <w:gridCol w:w="276"/>
        <w:gridCol w:w="111"/>
        <w:gridCol w:w="111"/>
        <w:gridCol w:w="111"/>
        <w:gridCol w:w="230"/>
        <w:gridCol w:w="720"/>
        <w:gridCol w:w="276"/>
        <w:gridCol w:w="109"/>
        <w:gridCol w:w="109"/>
        <w:gridCol w:w="109"/>
        <w:gridCol w:w="375"/>
        <w:gridCol w:w="375"/>
        <w:gridCol w:w="376"/>
        <w:gridCol w:w="109"/>
        <w:gridCol w:w="109"/>
        <w:gridCol w:w="109"/>
        <w:gridCol w:w="229"/>
        <w:gridCol w:w="717"/>
        <w:gridCol w:w="275"/>
        <w:gridCol w:w="110"/>
        <w:gridCol w:w="110"/>
        <w:gridCol w:w="110"/>
        <w:gridCol w:w="229"/>
        <w:gridCol w:w="717"/>
        <w:gridCol w:w="275"/>
        <w:gridCol w:w="109"/>
        <w:gridCol w:w="109"/>
        <w:gridCol w:w="109"/>
        <w:gridCol w:w="343"/>
        <w:gridCol w:w="343"/>
        <w:gridCol w:w="498"/>
      </w:tblGrid>
      <w:tr>
        <w:trPr/>
        <w:tc>
          <w:tcPr>
            <w:tcW w:w="552"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35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664"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154.6 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227.7 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510.4 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860.8 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(40.7)%</w:t>
            </w:r>
          </w:p>
        </w:tc>
      </w:tr>
      <w:tr>
        <w:trPr/>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29.6 </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0"/>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and marketing expense decreased $73.1 million and $350.3 million in the three and nine months ended March 31, 2023, respectively, compared to the three and nine months ended March 31, 2022. These decreases were primarily due to decreases in spending on advertising and marketing programs of $47.0 million and $291.6 million during the three and nine months ended March 31, 2023, respectively. These decreases were also due to decreases in personnel-related expenses of $15.0 million and $35.3 million for the three and nine months ended March 31, 2023, respectively, primarily due to decreased average headcount.</w:t>
      </w:r>
    </w:p>
    <w:p>
      <w:pPr>
        <w:pStyle w:val="TextBody"/>
        <w:spacing w:before="0" w:after="0"/>
        <w:jc w:val="both"/>
        <w:rPr/>
      </w:pPr>
      <w:r>
        <w:rPr/>
      </w:r>
    </w:p>
    <w:p>
      <w:pPr>
        <w:pStyle w:val="TextBody"/>
        <w:spacing w:lineRule="auto" w:line="417" w:before="0" w:after="0"/>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10205" w:type="dxa"/>
        <w:jc w:val="left"/>
        <w:tblInd w:w="0" w:type="dxa"/>
        <w:tblCellMar>
          <w:top w:w="28" w:type="dxa"/>
          <w:left w:w="28" w:type="dxa"/>
          <w:bottom w:w="28" w:type="dxa"/>
          <w:right w:w="28" w:type="dxa"/>
        </w:tblCellMar>
      </w:tblPr>
      <w:tblGrid>
        <w:gridCol w:w="522"/>
        <w:gridCol w:w="459"/>
        <w:gridCol w:w="461"/>
        <w:gridCol w:w="226"/>
        <w:gridCol w:w="708"/>
        <w:gridCol w:w="272"/>
        <w:gridCol w:w="109"/>
        <w:gridCol w:w="109"/>
        <w:gridCol w:w="109"/>
        <w:gridCol w:w="226"/>
        <w:gridCol w:w="708"/>
        <w:gridCol w:w="272"/>
        <w:gridCol w:w="109"/>
        <w:gridCol w:w="109"/>
        <w:gridCol w:w="109"/>
        <w:gridCol w:w="375"/>
        <w:gridCol w:w="375"/>
        <w:gridCol w:w="376"/>
        <w:gridCol w:w="109"/>
        <w:gridCol w:w="109"/>
        <w:gridCol w:w="109"/>
        <w:gridCol w:w="226"/>
        <w:gridCol w:w="708"/>
        <w:gridCol w:w="271"/>
        <w:gridCol w:w="109"/>
        <w:gridCol w:w="109"/>
        <w:gridCol w:w="109"/>
        <w:gridCol w:w="226"/>
        <w:gridCol w:w="708"/>
        <w:gridCol w:w="271"/>
        <w:gridCol w:w="109"/>
        <w:gridCol w:w="109"/>
        <w:gridCol w:w="109"/>
        <w:gridCol w:w="343"/>
        <w:gridCol w:w="343"/>
        <w:gridCol w:w="494"/>
      </w:tblGrid>
      <w:tr>
        <w:trPr/>
        <w:tc>
          <w:tcPr>
            <w:tcW w:w="522"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r>
      <w:tr>
        <w:trPr/>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2"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42"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583"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249.2 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242.3 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(13.1)%</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33.3 </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25.1 </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0"/>
        <w:jc w:val="both"/>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General and administrative expense increased $6.8 million for the three months ended March 31, 2023, compared to the three months ended March 31, 2022, primarily driven by the Dish settlement amount of $75.0 million, partially offset by decreases in professional services fees, comprised of legal, accounting, and consulting fees of $43.4 million, personnel-related expenses of $13.5 million primarily due to decreased average headcount, depreciation and amortization expense of $5.4 million, and stock-based compensation expense of $4.1 million. General and administrative expense decreased $96.0 million in the nine months ended March 31, 2023, compared to the nine months ended March 31, 2022, primarily due to a decrease in professional services fees, comprised of legal, accounting, and consulting fees of $116.6 million, personnel-related expenses of $41.6 million, primarily due to decreased average headcount, and depreciation and amortization expense of $13.5 million. The decreases were partially offset by the Dish settlement amount of $75.0 million. </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10205" w:type="dxa"/>
        <w:jc w:val="left"/>
        <w:tblInd w:w="0" w:type="dxa"/>
        <w:tblCellMar>
          <w:top w:w="28" w:type="dxa"/>
          <w:left w:w="28" w:type="dxa"/>
          <w:bottom w:w="28" w:type="dxa"/>
          <w:right w:w="28" w:type="dxa"/>
        </w:tblCellMar>
      </w:tblPr>
      <w:tblGrid>
        <w:gridCol w:w="557"/>
        <w:gridCol w:w="490"/>
        <w:gridCol w:w="491"/>
        <w:gridCol w:w="235"/>
        <w:gridCol w:w="610"/>
        <w:gridCol w:w="282"/>
        <w:gridCol w:w="113"/>
        <w:gridCol w:w="113"/>
        <w:gridCol w:w="113"/>
        <w:gridCol w:w="235"/>
        <w:gridCol w:w="610"/>
        <w:gridCol w:w="282"/>
        <w:gridCol w:w="109"/>
        <w:gridCol w:w="109"/>
        <w:gridCol w:w="109"/>
        <w:gridCol w:w="375"/>
        <w:gridCol w:w="375"/>
        <w:gridCol w:w="376"/>
        <w:gridCol w:w="109"/>
        <w:gridCol w:w="109"/>
        <w:gridCol w:w="109"/>
        <w:gridCol w:w="230"/>
        <w:gridCol w:w="720"/>
        <w:gridCol w:w="276"/>
        <w:gridCol w:w="111"/>
        <w:gridCol w:w="111"/>
        <w:gridCol w:w="111"/>
        <w:gridCol w:w="230"/>
        <w:gridCol w:w="720"/>
        <w:gridCol w:w="276"/>
        <w:gridCol w:w="109"/>
        <w:gridCol w:w="109"/>
        <w:gridCol w:w="109"/>
        <w:gridCol w:w="343"/>
        <w:gridCol w:w="343"/>
        <w:gridCol w:w="496"/>
      </w:tblGrid>
      <w:tr>
        <w:trPr/>
        <w:tc>
          <w:tcPr>
            <w:tcW w:w="55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38"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485"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78.2 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77.1 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246.3 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274.6 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(10.3)%</w:t>
            </w:r>
          </w:p>
        </w:tc>
      </w:tr>
      <w:tr>
        <w:trPr/>
        <w:tc>
          <w:tcPr>
            <w:tcW w:w="1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10.4 </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8.0 </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Research and development expense increased $1.1 million for the three months ended March 31, 2023, compared to the three months ended March 31, 2022, primarily driven by an increase in product development and research costs associated with development of new software features and products of $4.1 million, partially offset by a decrease in personnel-related expenses of $3.1 million, primarily due to decreased average headcount. Research and development expense decreased $28.3 million in the nine months ended March 31, 2023 compared to the nine months ended March 31, 2022, primarily due to a decrease in personnel-related expenses of $18.2 million, which was primarily due to decreased average headcount, a decrease in product development and research costs associated with development of new software features and products of $13.3 million, a decrease of $8.0 million driven by decreased costs associated with software and web platform costs, and a decrease in depreciation and amortization expense of $6.7 million. These decreases in research and development expenses for the nine months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ended March 31, 2023 were partially offset by an increase in stock-based compensation expense of $18.9 million, primarily driven by an acceleration of certain restricted stock unit vesting schedules, the repricing of certain stock option awards, and an increased number of awards vesting.</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Goodwill impairment</w:t>
      </w:r>
    </w:p>
    <w:tbl>
      <w:tblPr>
        <w:tblW w:w="10205" w:type="dxa"/>
        <w:jc w:val="left"/>
        <w:tblInd w:w="0" w:type="dxa"/>
        <w:tblCellMar>
          <w:top w:w="28" w:type="dxa"/>
          <w:left w:w="28" w:type="dxa"/>
          <w:bottom w:w="28" w:type="dxa"/>
          <w:right w:w="28" w:type="dxa"/>
        </w:tblCellMar>
      </w:tblPr>
      <w:tblGrid>
        <w:gridCol w:w="572"/>
        <w:gridCol w:w="503"/>
        <w:gridCol w:w="504"/>
        <w:gridCol w:w="289"/>
        <w:gridCol w:w="520"/>
        <w:gridCol w:w="139"/>
        <w:gridCol w:w="139"/>
        <w:gridCol w:w="139"/>
        <w:gridCol w:w="139"/>
        <w:gridCol w:w="289"/>
        <w:gridCol w:w="905"/>
        <w:gridCol w:w="139"/>
        <w:gridCol w:w="109"/>
        <w:gridCol w:w="109"/>
        <w:gridCol w:w="109"/>
        <w:gridCol w:w="375"/>
        <w:gridCol w:w="375"/>
        <w:gridCol w:w="376"/>
        <w:gridCol w:w="109"/>
        <w:gridCol w:w="109"/>
        <w:gridCol w:w="109"/>
        <w:gridCol w:w="283"/>
        <w:gridCol w:w="508"/>
        <w:gridCol w:w="136"/>
        <w:gridCol w:w="136"/>
        <w:gridCol w:w="136"/>
        <w:gridCol w:w="136"/>
        <w:gridCol w:w="283"/>
        <w:gridCol w:w="885"/>
        <w:gridCol w:w="136"/>
        <w:gridCol w:w="109"/>
        <w:gridCol w:w="109"/>
        <w:gridCol w:w="109"/>
        <w:gridCol w:w="343"/>
        <w:gridCol w:w="343"/>
        <w:gridCol w:w="496"/>
      </w:tblGrid>
      <w:tr>
        <w:trPr/>
        <w:tc>
          <w:tcPr>
            <w:tcW w:w="57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1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7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444"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bl>
    <w:p>
      <w:pPr>
        <w:pStyle w:val="TextBody"/>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___________________________</w:t>
      </w:r>
    </w:p>
    <w:p>
      <w:pPr>
        <w:pStyle w:val="TextBody"/>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*NM - not meaningful</w:t>
      </w:r>
    </w:p>
    <w:p>
      <w:pPr>
        <w:pStyle w:val="TextBody"/>
        <w:spacing w:before="0" w:after="0"/>
        <w:jc w:val="both"/>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We review goodwill for impairment annually on April 1 and more frequently if events or changes in circumstances indicate that an impairment may exist (“a triggering event”). No Goodwill impairment was recorded for the three and nine months ended March 31, 2023. During the three months ended March 31, 2022, management identified various qualitative factors that collectively, indicated we had a triggering event, including (i) softening demand; (ii) increased costs of inventory and logistics; and (iii) sustained decrease in stock price. The Company performed a valuation of the Connected Fitness Products reporting unit using liquidation value and discounted cash flow methodologies. These forecasts and assumptions are highly subjective. See “</w:t>
      </w:r>
      <w:r>
        <w:rPr>
          <w:rFonts w:ascii="Roboto;sans-serif" w:hAnsi="Roboto;sans-serif"/>
          <w:b w:val="false"/>
          <w:i/>
          <w:color w:val="000000"/>
          <w:sz w:val="18"/>
        </w:rPr>
        <w:t>Risk Factors—General Risk Factors— If our estimates or judgments relating to our critical accounting policies prove to be incorrect, our operating results could be adversely affected</w:t>
      </w:r>
      <w:r>
        <w:rPr>
          <w:color w:val="000000"/>
        </w:rPr>
        <w:t xml:space="preserve">” </w:t>
      </w:r>
      <w:r>
        <w:rPr>
          <w:rFonts w:ascii="Roboto;sans-serif" w:hAnsi="Roboto;sans-serif"/>
          <w:b w:val="false"/>
          <w:color w:val="000000"/>
          <w:sz w:val="18"/>
        </w:rPr>
        <w:t xml:space="preserve">in our Form 10-K. Given the results of our quantitative assessment, we determined that the Connected Fitness Products reporting unit’s goodwill was impaired. For both the three and nine months ended March 31, 2022, the Company recognized a goodwill impairment charge of $181.9 million representing the entire amount of Goodwill related to the Connected Fitness Products reporting unit in the Connected Fitness Products Segment. </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10205" w:type="dxa"/>
        <w:jc w:val="left"/>
        <w:tblInd w:w="0" w:type="dxa"/>
        <w:tblCellMar>
          <w:top w:w="28" w:type="dxa"/>
          <w:left w:w="28" w:type="dxa"/>
          <w:bottom w:w="28" w:type="dxa"/>
          <w:right w:w="28" w:type="dxa"/>
        </w:tblCellMar>
      </w:tblPr>
      <w:tblGrid>
        <w:gridCol w:w="564"/>
        <w:gridCol w:w="495"/>
        <w:gridCol w:w="497"/>
        <w:gridCol w:w="279"/>
        <w:gridCol w:w="724"/>
        <w:gridCol w:w="134"/>
        <w:gridCol w:w="134"/>
        <w:gridCol w:w="134"/>
        <w:gridCol w:w="134"/>
        <w:gridCol w:w="279"/>
        <w:gridCol w:w="724"/>
        <w:gridCol w:w="134"/>
        <w:gridCol w:w="109"/>
        <w:gridCol w:w="109"/>
        <w:gridCol w:w="109"/>
        <w:gridCol w:w="375"/>
        <w:gridCol w:w="375"/>
        <w:gridCol w:w="376"/>
        <w:gridCol w:w="109"/>
        <w:gridCol w:w="109"/>
        <w:gridCol w:w="109"/>
        <w:gridCol w:w="265"/>
        <w:gridCol w:w="830"/>
        <w:gridCol w:w="127"/>
        <w:gridCol w:w="127"/>
        <w:gridCol w:w="127"/>
        <w:gridCol w:w="127"/>
        <w:gridCol w:w="265"/>
        <w:gridCol w:w="688"/>
        <w:gridCol w:w="127"/>
        <w:gridCol w:w="109"/>
        <w:gridCol w:w="109"/>
        <w:gridCol w:w="109"/>
        <w:gridCol w:w="343"/>
        <w:gridCol w:w="343"/>
        <w:gridCol w:w="497"/>
      </w:tblGrid>
      <w:tr>
        <w:trPr/>
        <w:tc>
          <w:tcPr>
            <w:tcW w:w="5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1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5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466"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163.7%</w:t>
            </w:r>
          </w:p>
        </w:tc>
      </w:tr>
    </w:tbl>
    <w:p>
      <w:pPr>
        <w:pStyle w:val="TextBody"/>
        <w:spacing w:before="60" w:after="283"/>
        <w:jc w:val="both"/>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Impairment expense was $39.4 million for the three months ended March 31, 2023, primarily related to Peloton Output Park, the closure of retail showroom locations, and other manufacturing assets. Impairment expense for the nine months ended March 31, 2023 was $111.9 million primarily related to exiting corporate office locations and retail showrooms, capitalized software, Peloton Output Park, and Connected Fitness and supply chain assets.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for the three and nine months ended March 31, 2022 was $32.5 million and $42.5 million, respectively, primarily due to asset write-downs and write-offs related to our restructuring initiative for the three and nine months ended March 31, 2022, and by the disposal of lease build out costs for the nine months ended March 31, 2022.</w:t>
      </w:r>
    </w:p>
    <w:p>
      <w:pPr>
        <w:pStyle w:val="TextBody"/>
        <w:spacing w:before="0" w:after="0"/>
        <w:jc w:val="both"/>
        <w:rPr/>
      </w:pPr>
      <w:r>
        <w:rPr/>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10205" w:type="dxa"/>
        <w:jc w:val="left"/>
        <w:tblInd w:w="0" w:type="dxa"/>
        <w:tblCellMar>
          <w:top w:w="28" w:type="dxa"/>
          <w:left w:w="28" w:type="dxa"/>
          <w:bottom w:w="28" w:type="dxa"/>
          <w:right w:w="28" w:type="dxa"/>
        </w:tblCellMar>
      </w:tblPr>
      <w:tblGrid>
        <w:gridCol w:w="593"/>
        <w:gridCol w:w="521"/>
        <w:gridCol w:w="523"/>
        <w:gridCol w:w="259"/>
        <w:gridCol w:w="672"/>
        <w:gridCol w:w="124"/>
        <w:gridCol w:w="124"/>
        <w:gridCol w:w="124"/>
        <w:gridCol w:w="124"/>
        <w:gridCol w:w="259"/>
        <w:gridCol w:w="809"/>
        <w:gridCol w:w="124"/>
        <w:gridCol w:w="109"/>
        <w:gridCol w:w="109"/>
        <w:gridCol w:w="109"/>
        <w:gridCol w:w="375"/>
        <w:gridCol w:w="375"/>
        <w:gridCol w:w="376"/>
        <w:gridCol w:w="109"/>
        <w:gridCol w:w="109"/>
        <w:gridCol w:w="109"/>
        <w:gridCol w:w="249"/>
        <w:gridCol w:w="780"/>
        <w:gridCol w:w="120"/>
        <w:gridCol w:w="120"/>
        <w:gridCol w:w="120"/>
        <w:gridCol w:w="120"/>
        <w:gridCol w:w="249"/>
        <w:gridCol w:w="780"/>
        <w:gridCol w:w="120"/>
        <w:gridCol w:w="109"/>
        <w:gridCol w:w="109"/>
        <w:gridCol w:w="109"/>
        <w:gridCol w:w="343"/>
        <w:gridCol w:w="343"/>
        <w:gridCol w:w="498"/>
      </w:tblGrid>
      <w:tr>
        <w:trPr/>
        <w:tc>
          <w:tcPr>
            <w:tcW w:w="593"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3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384"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5.9%</w:t>
            </w:r>
          </w:p>
        </w:tc>
      </w:tr>
    </w:tbl>
    <w:p>
      <w:pPr>
        <w:pStyle w:val="TextBody"/>
        <w:spacing w:before="60" w:after="283"/>
        <w:jc w:val="both"/>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Restructuring expense decreased $146.5 million for the three months ended March 31, 2023, compared to the three months ended March 31, 2022, primarily due to a decrease of $92.5 million in cash severance and other personnel costs and a decrease of $44.2 million in stock-based compensation expense. Additionally, there was a decrease of $9.8 million in professional fees and other costs associated with exit and disposal activities for the three months ended March 31, 2023. Restructuring expense increased $9.4 million for the nine months ended March 31, 2023, compared to the nine months ended March 31, 2022, primarily related to an increase of $38.6 million of stock-based compensation expense for the nine months ended March 31, 2023, driven by incremental stock-based compensation expense from exercise window modifications and the acceleration of certain restricted stock unit vesting schedules pursuant to severance arrangements, and an increase of $2.2 million in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professional fees and other costs associated with exit and disposal activities. These increases were partially offset by a decrease of $31.4 million of cash severance and other personnel costs for the nine months ended March 31, 2023.</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10205" w:type="dxa"/>
        <w:jc w:val="left"/>
        <w:tblInd w:w="0" w:type="dxa"/>
        <w:tblCellMar>
          <w:top w:w="28" w:type="dxa"/>
          <w:left w:w="28" w:type="dxa"/>
          <w:bottom w:w="28" w:type="dxa"/>
          <w:right w:w="28" w:type="dxa"/>
        </w:tblCellMar>
      </w:tblPr>
      <w:tblGrid>
        <w:gridCol w:w="600"/>
        <w:gridCol w:w="527"/>
        <w:gridCol w:w="530"/>
        <w:gridCol w:w="319"/>
        <w:gridCol w:w="658"/>
        <w:gridCol w:w="153"/>
        <w:gridCol w:w="153"/>
        <w:gridCol w:w="153"/>
        <w:gridCol w:w="153"/>
        <w:gridCol w:w="319"/>
        <w:gridCol w:w="573"/>
        <w:gridCol w:w="153"/>
        <w:gridCol w:w="109"/>
        <w:gridCol w:w="109"/>
        <w:gridCol w:w="109"/>
        <w:gridCol w:w="375"/>
        <w:gridCol w:w="375"/>
        <w:gridCol w:w="376"/>
        <w:gridCol w:w="109"/>
        <w:gridCol w:w="109"/>
        <w:gridCol w:w="109"/>
        <w:gridCol w:w="298"/>
        <w:gridCol w:w="774"/>
        <w:gridCol w:w="143"/>
        <w:gridCol w:w="143"/>
        <w:gridCol w:w="143"/>
        <w:gridCol w:w="143"/>
        <w:gridCol w:w="298"/>
        <w:gridCol w:w="537"/>
        <w:gridCol w:w="143"/>
        <w:gridCol w:w="109"/>
        <w:gridCol w:w="109"/>
        <w:gridCol w:w="109"/>
        <w:gridCol w:w="343"/>
        <w:gridCol w:w="343"/>
        <w:gridCol w:w="499"/>
      </w:tblGrid>
      <w:tr>
        <w:trPr/>
        <w:tc>
          <w:tcPr>
            <w:tcW w:w="600"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1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5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363"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bl>
    <w:p>
      <w:pPr>
        <w:pStyle w:val="TextBody"/>
        <w:spacing w:lineRule="auto" w:line="417" w:before="60" w:after="283"/>
        <w:jc w:val="both"/>
        <w:rPr>
          <w:rFonts w:ascii="Roboto;sans-serif" w:hAnsi="Roboto;sans-serif"/>
          <w:b w:val="false"/>
          <w:color w:val="000000"/>
          <w:sz w:val="18"/>
        </w:rPr>
      </w:pPr>
      <w:r>
        <w:rPr>
          <w:rFonts w:ascii="Roboto;sans-serif" w:hAnsi="Roboto;sans-serif"/>
          <w:b w:val="false"/>
          <w:color w:val="000000"/>
          <w:sz w:val="18"/>
        </w:rPr>
        <w:t>___________________________</w:t>
      </w:r>
    </w:p>
    <w:p>
      <w:pPr>
        <w:pStyle w:val="TextBody"/>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*NM - not meaningful</w:t>
      </w:r>
    </w:p>
    <w:p>
      <w:pPr>
        <w:pStyle w:val="TextBody"/>
        <w:spacing w:before="60" w:after="283"/>
        <w:jc w:val="both"/>
        <w:rPr/>
      </w:pPr>
      <w:r>
        <w:rPr/>
      </w:r>
    </w:p>
    <w:p>
      <w:pPr>
        <w:pStyle w:val="TextBody"/>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2023 and 2022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Supplier settlements were $2.9 million and $22.0 million for the three and nine months ended March 31, 2023, respectively, which consisted of settlement and related costs paid to third-party suppliers to terminate certain future inventory purchase commitments.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Total Other Expense, Net and Income Tax Expense</w:t>
      </w:r>
    </w:p>
    <w:tbl>
      <w:tblPr>
        <w:tblW w:w="10205" w:type="dxa"/>
        <w:jc w:val="left"/>
        <w:tblInd w:w="0" w:type="dxa"/>
        <w:tblCellMar>
          <w:top w:w="28" w:type="dxa"/>
          <w:left w:w="28" w:type="dxa"/>
          <w:bottom w:w="28" w:type="dxa"/>
          <w:right w:w="28" w:type="dxa"/>
        </w:tblCellMar>
      </w:tblPr>
      <w:tblGrid>
        <w:gridCol w:w="702"/>
        <w:gridCol w:w="545"/>
        <w:gridCol w:w="549"/>
        <w:gridCol w:w="268"/>
        <w:gridCol w:w="756"/>
        <w:gridCol w:w="129"/>
        <w:gridCol w:w="129"/>
        <w:gridCol w:w="129"/>
        <w:gridCol w:w="129"/>
        <w:gridCol w:w="268"/>
        <w:gridCol w:w="614"/>
        <w:gridCol w:w="129"/>
        <w:gridCol w:w="109"/>
        <w:gridCol w:w="109"/>
        <w:gridCol w:w="109"/>
        <w:gridCol w:w="375"/>
        <w:gridCol w:w="375"/>
        <w:gridCol w:w="376"/>
        <w:gridCol w:w="109"/>
        <w:gridCol w:w="109"/>
        <w:gridCol w:w="109"/>
        <w:gridCol w:w="256"/>
        <w:gridCol w:w="723"/>
        <w:gridCol w:w="123"/>
        <w:gridCol w:w="123"/>
        <w:gridCol w:w="123"/>
        <w:gridCol w:w="123"/>
        <w:gridCol w:w="256"/>
        <w:gridCol w:w="723"/>
        <w:gridCol w:w="123"/>
        <w:gridCol w:w="109"/>
        <w:gridCol w:w="109"/>
        <w:gridCol w:w="109"/>
        <w:gridCol w:w="343"/>
        <w:gridCol w:w="343"/>
        <w:gridCol w:w="492"/>
      </w:tblGrid>
      <w:tr>
        <w:trPr/>
        <w:tc>
          <w:tcPr>
            <w:tcW w:w="702"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1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79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231"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191.2%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162.9%</w:t>
            </w:r>
          </w:p>
        </w:tc>
      </w:tr>
      <w:tr>
        <w:trPr/>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income</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3,477.1%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1,457.5%</w:t>
            </w:r>
          </w:p>
        </w:tc>
      </w:tr>
      <w:tr>
        <w:trPr/>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gains (losses)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r>
        <w:trPr/>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318.8%</w:t>
            </w:r>
          </w:p>
        </w:tc>
      </w:tr>
      <w:tr>
        <w:trPr/>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Income tax expense </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(53.3)%</w:t>
            </w:r>
          </w:p>
        </w:tc>
      </w:tr>
    </w:tbl>
    <w:p>
      <w:pPr>
        <w:pStyle w:val="TextBody"/>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___________________________</w:t>
      </w:r>
    </w:p>
    <w:p>
      <w:pPr>
        <w:pStyle w:val="TextBody"/>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*NM - not meaningful</w:t>
      </w:r>
    </w:p>
    <w:p>
      <w:pPr>
        <w:pStyle w:val="TextBody"/>
        <w:spacing w:before="0" w:after="0"/>
        <w:jc w:val="both"/>
        <w:rPr/>
      </w:pPr>
      <w:r>
        <w:rPr/>
      </w:r>
    </w:p>
    <w:p>
      <w:pPr>
        <w:pStyle w:val="TextBody"/>
        <w:spacing w:lineRule="auto" w:line="417" w:before="120" w:after="283"/>
        <w:jc w:val="both"/>
        <w:rPr>
          <w:rFonts w:ascii="Roboto;sans-serif" w:hAnsi="Roboto;sans-serif"/>
          <w:b w:val="false"/>
          <w:color w:val="000000"/>
          <w:sz w:val="18"/>
        </w:rPr>
      </w:pPr>
      <w:r>
        <w:rPr>
          <w:rFonts w:ascii="Roboto;sans-serif" w:hAnsi="Roboto;sans-serif"/>
          <w:b w:val="false"/>
          <w:color w:val="000000"/>
          <w:sz w:val="18"/>
        </w:rPr>
        <w:t>Total other expense, net, was comprised of the following for the three and nine months ended March 31, 2023:</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the amortization of the convertible notes discount and deferred financing costs of $26.6 million and $69.7 million, respectively;</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$7.9 million and $17.7 million, respectively;</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 xml:space="preserve">Foreign exchange gains of $9.1 million and $3.9 million, respectively; and </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 xml:space="preserve">Other income, net of $0.4 million and $3.0 million, respectively.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other expense, net, was comprised of the following for the three and nine months ended March 31, 2022:</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the amortization of the convertible notes discount and deferred financing costs of $9.1 million and $26.5 million, respectively;</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$0.2 million and $1.1 million, respectively;</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Foreign exchange losses of $11.5 million and $19.1 million, respectively; and</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Other income, net of $1.2 million and $0.7 million, respectively.</w:t>
      </w:r>
    </w:p>
    <w:p>
      <w:pPr>
        <w:pStyle w:val="TextBody"/>
        <w:spacing w:before="0" w:after="6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Income tax expense for the three and nine months ended March 31, 2023 and March 31, 2022 was primarily due to state and international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spacing w:lineRule="auto" w:line="288" w:before="0" w:after="240"/>
        <w:jc w:val="both"/>
        <w:rPr>
          <w:rFonts w:ascii="Roboto;sans-serif" w:hAnsi="Roboto;sans-serif"/>
          <w:b w:val="false"/>
          <w:color w:val="050505"/>
          <w:sz w:val="18"/>
          <w:highlight w:val="white"/>
        </w:rPr>
      </w:pPr>
      <w:r>
        <w:rPr>
          <w:rFonts w:ascii="Roboto;sans-serif" w:hAnsi="Roboto;sans-serif"/>
          <w:b w:val="false"/>
          <w:color w:val="050505"/>
          <w:sz w:val="18"/>
          <w:highlight w:val="white"/>
        </w:rPr>
        <w:t>We calculate Adjusted EBITDA as net (loss) income adjusted to exclude: other expense (income), net; income tax expense (benefit); depreciation and amortization expense; stock-based compensation expense; goodwill impairment; impairment expense; product recall related matters;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substitutes for analysis of our financial results as reported under GAAP. Some of these limitations are, or may in the future be, as follows: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transaction and integration costs related to acquisitions; </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for goodwill and fixed assets, and gains (losses) on disposals for fixed assets;</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the impact of purchase accounting adjustments to inventory related to the Precor acquisition;</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pStyle w:val="TextBody"/>
        <w:spacing w:lineRule="auto" w:line="288" w:before="0" w:after="60"/>
        <w:ind w:left="0" w:right="0" w:hanging="360"/>
        <w:jc w:val="both"/>
        <w:rPr/>
      </w:pPr>
      <w:r>
        <w:rPr>
          <w:color w:val="000000"/>
          <w:highlight w:val="white"/>
        </w:rPr>
        <w:t>•</w:t>
      </w:r>
      <w:r>
        <w:rPr>
          <w:rFonts w:ascii="Roboto;sans-serif" w:hAnsi="Roboto;sans-serif"/>
          <w:b w:val="false"/>
          <w:color w:val="000000"/>
          <w:sz w:val="18"/>
        </w:rPr>
        <w:t xml:space="preserve">Adjusted EBITDA does not reflect </w:t>
      </w:r>
      <w:r>
        <w:rPr>
          <w:rFonts w:ascii="Roboto;sans-serif" w:hAnsi="Roboto;sans-serif"/>
          <w:b w:val="false"/>
          <w:color w:val="050505"/>
          <w:sz w:val="18"/>
          <w:highlight w:val="white"/>
        </w:rPr>
        <w:t>reorganization, severance, exit, disposal and other costs associated with restructuring plans;</w:t>
      </w:r>
    </w:p>
    <w:p>
      <w:pPr>
        <w:pStyle w:val="TextBody"/>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non-recurring supplier settlements; and</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these financial measures. Because companies in our industry may calculate such measures differently than we do, their usefulness as comparative measures can be limited.</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v:rect>
            </w:pict>
          </mc:Fallback>
        </mc:AlternateContent>
      </w:r>
    </w:p>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loss, the most directly comparable financial measure prepared in accordance with GAAP, for each of the periods indicated:</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 xml:space="preserve">Adjusted EBITDA </w:t>
      </w:r>
    </w:p>
    <w:tbl>
      <w:tblPr>
        <w:tblW w:w="10205" w:type="dxa"/>
        <w:jc w:val="left"/>
        <w:tblInd w:w="0" w:type="dxa"/>
        <w:tblCellMar>
          <w:top w:w="28" w:type="dxa"/>
          <w:left w:w="28" w:type="dxa"/>
          <w:bottom w:w="28" w:type="dxa"/>
          <w:right w:w="28" w:type="dxa"/>
        </w:tblCellMar>
      </w:tblPr>
      <w:tblGrid>
        <w:gridCol w:w="1282"/>
        <w:gridCol w:w="1090"/>
        <w:gridCol w:w="1110"/>
        <w:gridCol w:w="281"/>
        <w:gridCol w:w="987"/>
        <w:gridCol w:w="135"/>
        <w:gridCol w:w="135"/>
        <w:gridCol w:w="135"/>
        <w:gridCol w:w="135"/>
        <w:gridCol w:w="281"/>
        <w:gridCol w:w="987"/>
        <w:gridCol w:w="135"/>
        <w:gridCol w:w="109"/>
        <w:gridCol w:w="109"/>
        <w:gridCol w:w="109"/>
        <w:gridCol w:w="240"/>
        <w:gridCol w:w="1034"/>
        <w:gridCol w:w="115"/>
        <w:gridCol w:w="115"/>
        <w:gridCol w:w="115"/>
        <w:gridCol w:w="115"/>
        <w:gridCol w:w="240"/>
        <w:gridCol w:w="1034"/>
        <w:gridCol w:w="177"/>
      </w:tblGrid>
      <w:tr>
        <w:trPr/>
        <w:tc>
          <w:tcPr>
            <w:tcW w:w="1282"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3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482"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4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482"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67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Product recall related matters</w:t>
            </w:r>
            <w:r>
              <w:rPr>
                <w:rFonts w:ascii="Roboto;sans-serif" w:hAnsi="Roboto;sans-serif"/>
                <w:b w:val="false"/>
                <w:color w:val="000000"/>
                <w:sz w:val="12"/>
              </w:rPr>
              <w:t>(1)</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Litigation and settlement expenses</w:t>
            </w:r>
            <w:r>
              <w:rPr>
                <w:rFonts w:ascii="Roboto;sans-serif" w:hAnsi="Roboto;sans-serif"/>
                <w:b w:val="false"/>
                <w:color w:val="000000"/>
                <w:sz w:val="12"/>
              </w:rPr>
              <w:t>(2)</w:t>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adjustment items</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(194.0)</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(694.2)</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Represents adjustments and charges associated with product recall related matters, as well as accrual adjustments. These include adjustments to Connected Fitness Products revenue for actual and estimated future returns of $(11.9) million and $14.6 million, recorded costs in Connected Fitness Products cost of revenue associated with recall related matters of $21.6 million and $24.1 million, and operating expenses of zero and $2.3 million associated with recall-related hardware development costs, in each case for the three and nine months ended March 31, 2023, respectively. For the three and nine months ended March 31, 2022, these also include a reduction to Connected Fitness Products revenue for actual and estimated future returns of $17.5 million and $36.3 million, recorded costs in Connected Fitness Products cost of revenue associated with inventory write-downs and logistic costs of $2.0 million and $7.6 million, and operating expenses of $2.0 million and $5.0 million associated with recall-related hardware development costs, respectively.</w:t>
      </w:r>
    </w:p>
    <w:p>
      <w:pPr>
        <w:pStyle w:val="TextBody"/>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Includes Dish settlement accrual of $75.0 million and other litigation-related expenses and settlements for certain non-recurring patent infringement litigation, securities litigation, and consumer arbitration for the three and nine months ended March 31, 2023. Includes litigation-related expenses for certain non-recurring patent infringement litigation and consumer arbitration for the three and nine months ended March 31, 2022.</w:t>
      </w:r>
    </w:p>
    <w:p>
      <w:pPr>
        <w:pStyle w:val="TextBody"/>
        <w:spacing w:before="60" w:after="6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v:rect>
            </w:pict>
          </mc:Fallback>
        </mc:AlternateContent>
      </w:r>
    </w:p>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to Subscription Gross Profit, the most directly comparable financial measure prepared in accordance with GAAP, for each of the periods indicated:</w:t>
      </w:r>
    </w:p>
    <w:tbl>
      <w:tblPr>
        <w:tblW w:w="10205" w:type="dxa"/>
        <w:jc w:val="left"/>
        <w:tblInd w:w="0" w:type="dxa"/>
        <w:tblCellMar>
          <w:top w:w="28" w:type="dxa"/>
          <w:left w:w="28" w:type="dxa"/>
          <w:bottom w:w="28" w:type="dxa"/>
          <w:right w:w="28" w:type="dxa"/>
        </w:tblCellMar>
      </w:tblPr>
      <w:tblGrid>
        <w:gridCol w:w="1258"/>
        <w:gridCol w:w="1092"/>
        <w:gridCol w:w="1097"/>
        <w:gridCol w:w="266"/>
        <w:gridCol w:w="834"/>
        <w:gridCol w:w="319"/>
        <w:gridCol w:w="128"/>
        <w:gridCol w:w="128"/>
        <w:gridCol w:w="128"/>
        <w:gridCol w:w="266"/>
        <w:gridCol w:w="834"/>
        <w:gridCol w:w="319"/>
        <w:gridCol w:w="109"/>
        <w:gridCol w:w="109"/>
        <w:gridCol w:w="109"/>
        <w:gridCol w:w="230"/>
        <w:gridCol w:w="904"/>
        <w:gridCol w:w="276"/>
        <w:gridCol w:w="110"/>
        <w:gridCol w:w="110"/>
        <w:gridCol w:w="110"/>
        <w:gridCol w:w="230"/>
        <w:gridCol w:w="904"/>
        <w:gridCol w:w="335"/>
      </w:tblGrid>
      <w:tr>
        <w:trPr/>
        <w:tc>
          <w:tcPr>
            <w:tcW w:w="1258"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675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4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1,248.3 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1,011.6 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Less: Cost of Subscription</w:t>
            </w:r>
            <w:r>
              <w:rPr>
                <w:color w:val="000000"/>
              </w:rPr>
              <w:t xml:space="preserve"> </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136.9 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409.8 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838.5 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684.4 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67.7 </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307.2 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265.2 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898.0 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718.1 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2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71.0 </w:t>
            </w:r>
          </w:p>
        </w:tc>
        <w:tc>
          <w:tcPr>
            <w:tcW w:w="3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pStyle w:val="TextBody"/>
        <w:spacing w:before="0" w:after="0"/>
        <w:rPr/>
      </w:pPr>
      <w:r>
        <w:rPr/>
      </w: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Free Cash Flow</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We define Free Cash Flow as Net cash (used in) provided by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used in operating activities, the most directly comparable financial measure prepared in accordance with GAAP, for each of the periods indicated:</w:t>
      </w:r>
    </w:p>
    <w:tbl>
      <w:tblPr>
        <w:tblW w:w="10205" w:type="dxa"/>
        <w:jc w:val="left"/>
        <w:tblInd w:w="0" w:type="dxa"/>
        <w:tblCellMar>
          <w:top w:w="28" w:type="dxa"/>
          <w:left w:w="28" w:type="dxa"/>
          <w:bottom w:w="28" w:type="dxa"/>
          <w:right w:w="28" w:type="dxa"/>
        </w:tblCellMar>
      </w:tblPr>
      <w:tblGrid>
        <w:gridCol w:w="1608"/>
        <w:gridCol w:w="1270"/>
        <w:gridCol w:w="1278"/>
        <w:gridCol w:w="262"/>
        <w:gridCol w:w="747"/>
        <w:gridCol w:w="126"/>
        <w:gridCol w:w="126"/>
        <w:gridCol w:w="126"/>
        <w:gridCol w:w="126"/>
        <w:gridCol w:w="262"/>
        <w:gridCol w:w="886"/>
        <w:gridCol w:w="126"/>
        <w:gridCol w:w="109"/>
        <w:gridCol w:w="109"/>
        <w:gridCol w:w="109"/>
        <w:gridCol w:w="241"/>
        <w:gridCol w:w="812"/>
        <w:gridCol w:w="116"/>
        <w:gridCol w:w="116"/>
        <w:gridCol w:w="116"/>
        <w:gridCol w:w="116"/>
        <w:gridCol w:w="241"/>
        <w:gridCol w:w="1004"/>
        <w:gridCol w:w="173"/>
      </w:tblGrid>
      <w:tr>
        <w:trPr/>
        <w:tc>
          <w:tcPr>
            <w:tcW w:w="1608"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9"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(670.1)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(332.2)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(1,677.8)</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(76.6)</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(267.7)</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(746.7)</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(1,945.5)</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and term loan, as well as cash flows from operating activities. As of March 31, 2023, we had Cash and cash equivalents of approximately $873.6 million.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anticipate capital expenditures over the next 12 months which include capitalized labor, investments in content and our studios, product development and systems implementation, offset by any proceeds from the expected eventual sale of Peloton Output Park.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believe our existing cash and cash equivalent balances and cash flow from operations will be sufficient to meet our working capital and capital expenditure needs for at least the next 12 months.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Restructuring Plan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2022, we announced and began implementing the Restructuring Plan to realign our operational focus to support our multi-year growth, scale the business, and improve costs.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July 2022, August 2022 and October 2022, the Company took actions to update the Restructuring Plan. On July 12, 2022, we announced we are exiting all owned-manufacturing operations and our expansion of our current relationship with Taiwanese manufacturer Rexon Industrial Corporation. Additionally, on August 12, 2022, we announced the decision to perform the following additional restructuring activities: (i) fully transitioning our North American Field Operations to third-party providers, including the significant reduction of our delivery workforce teams; (ii) eliminating a significant number of roles on the North America Member Support team and exiting our real-estate footprints in our Plano and Tempe locations; and (iii) reducing our retail showroom presence. On October 6, 2022, we announced approximately 500 global team member positions have been eliminated.</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charges related to the Restructuring Plan were $48.0 million and $280.2 million for the three and nine months ended March 31, 2023, respectively. Total charges for the three months ended March 31, 2023 consisted of cash charges of $6.9 million for severance and other personnel costs and $4.4 million for professional fees and other related charges, and non-cash charges of $36.0 million related to non-inventory asset write-downs and write-offs and $0.7 million for stock-based compensation expense. Total charges for the nine months ended March 31, 2023 consisted of cash charges of $68.0 million for severance and other personnel costs and $16.4 million for professional fees and other related charges, and non-cash charges of $108.6 million related to non-inventory asset write-downs and write-offs, $83.5 million for stock-based compensation expense, and $3.7 million for write-offs of inventory related to restructuring activities.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estimates that it will incur additional cash charges of approximately $20 million, primarily composed of severance and other exit costs in fiscal year 2023 and beyond. Additionally, the Company expects to recognize additional non-cash charges of approximately $35 million, primarily composed of asset impairment and stock-based compensation charges in connection with the Restructuring Plan.</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 xml:space="preserve">We may not be able to realize the cost savings and benefits initially anticipated as a result of the Restructuring Plan, and the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 </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Capped Call Transactions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Class A Common Stock Offering</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November 16, 2021, we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which includes 3,260,869 shares of Class A Common Stock issued and sold pursuant to the exercise in full by the underwriters of their option to purchase additional shares of Class A Common Stock pursuant to the Underwriting Agreement. We sold the Shares to the underwriters at the public offering price of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Roboto;sans-serif" w:hAnsi="Roboto;sans-serif"/>
          <w:b w:val="false"/>
          <w:color w:val="000000"/>
          <w:sz w:val="18"/>
        </w:rPr>
        <w:t>$46.00 per share less underwriting discounts</w:t>
      </w:r>
      <w:r>
        <w:rPr>
          <w:rFonts w:ascii="Roboto;sans-serif" w:hAnsi="Roboto;sans-serif"/>
          <w:b/>
          <w:color w:val="000000"/>
          <w:sz w:val="18"/>
        </w:rPr>
        <w:t xml:space="preserve">. </w:t>
      </w:r>
      <w:r>
        <w:rPr>
          <w:rFonts w:ascii="Roboto;sans-serif" w:hAnsi="Roboto;sans-serif"/>
          <w:b w:val="false"/>
          <w:color w:val="000000"/>
          <w:sz w:val="18"/>
        </w:rPr>
        <w:t>The net proceeds from the Offering were approximately $1.2 billion, after deducting the underwriters’ discounts and commissions and our offering expenses.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Second Amended and Restated Credit Agreement</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2019, the Company entered into an amended and restated revolving credit agreement (as amended, modified or supplemented prior to entrance into the Second Amended and Restated Credit Agreement (as defined below), the “Amended and Restated Credit Agreement”). The Amended and Restated Credit Agreement provided for a $500.0 million secured revolving credit facility, including up to the lesser of $250.0 million and the aggregate unused amount of the facility for the issuance of letters of credit. </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Amended and Restated Credit Agreement also permitted the incurrence of indebtedness to permit the Capped Call Transactions and issuance of the Notes.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25, 2022, the Company entered into an Amendment and Restatement Agreement to the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 xml:space="preserve">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May 2 2023,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will be limited to the lesser of (a) $400.0 million and (b) an amount equal to the “Subscription” revenue of the Company and its subsidiaries for the most recently completed fiscal quarter of the Company. The Liquidity Covenant will still be replaced with a covenant to maintain a minimum secured debt to adjusted EBITDA ratio upon our meeting a specified adjusted EBITDA threshold.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applicable to the Term Loan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March 31, 2023, we were fully undrawn under our Revolving Facility and as such did not have to test the financial covenants under the Second Amended and Restated Credit Agreement. As of March 31, 2023, we had drawn the full amount of the Term Loan, and we therefore had $744.4 million total outstanding borrowings under the Second Amended and Restated Credit Agreement. As of March 31, 2023, we had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outstanding letters of credit totaling $79.3 million, which is classified as Restricted cash on the Condensed Consolidated Balance Sheet. Upon entering into the Term Loan, the effective interest rate was 10.2% and on November 25, 2022 the rate was updated to 13.7%.</w:t>
      </w:r>
    </w:p>
    <w:p>
      <w:pPr>
        <w:pStyle w:val="TextBody"/>
        <w:spacing w:before="0" w:after="0"/>
        <w:jc w:val="both"/>
        <w:rPr/>
      </w:pPr>
      <w:r>
        <w:rPr/>
      </w:r>
    </w:p>
    <w:p>
      <w:pPr>
        <w:pStyle w:val="TextBody"/>
        <w:spacing w:lineRule="auto" w:line="417" w:before="0" w:after="0"/>
        <w:rPr>
          <w:rFonts w:ascii="Roboto;sans-serif" w:hAnsi="Roboto;sans-serif"/>
          <w:b/>
          <w:i/>
          <w:color w:val="000000"/>
          <w:sz w:val="18"/>
        </w:rPr>
      </w:pPr>
      <w:r>
        <w:rPr>
          <w:rFonts w:ascii="Roboto;sans-serif" w:hAnsi="Roboto;sans-serif"/>
          <w:b/>
          <w:i/>
          <w:color w:val="000000"/>
          <w:sz w:val="18"/>
        </w:rPr>
        <w:t>Cash Flows</w:t>
      </w:r>
    </w:p>
    <w:tbl>
      <w:tblPr>
        <w:tblW w:w="7871" w:type="dxa"/>
        <w:jc w:val="left"/>
        <w:tblInd w:w="0" w:type="dxa"/>
        <w:tblCellMar>
          <w:top w:w="28" w:type="dxa"/>
          <w:left w:w="28" w:type="dxa"/>
          <w:bottom w:w="28" w:type="dxa"/>
          <w:right w:w="28" w:type="dxa"/>
        </w:tblCellMar>
      </w:tblPr>
      <w:tblGrid>
        <w:gridCol w:w="1690"/>
        <w:gridCol w:w="1483"/>
        <w:gridCol w:w="1492"/>
        <w:gridCol w:w="257"/>
        <w:gridCol w:w="908"/>
        <w:gridCol w:w="124"/>
        <w:gridCol w:w="124"/>
        <w:gridCol w:w="124"/>
        <w:gridCol w:w="124"/>
        <w:gridCol w:w="257"/>
        <w:gridCol w:w="1113"/>
        <w:gridCol w:w="175"/>
      </w:tblGrid>
      <w:tr>
        <w:trPr/>
        <w:tc>
          <w:tcPr>
            <w:tcW w:w="1690"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(332.2)</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(1,677.8)</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1,309.0 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120" w:after="283"/>
        <w:jc w:val="both"/>
        <w:rPr>
          <w:rFonts w:ascii="Roboto;sans-serif" w:hAnsi="Roboto;sans-serif"/>
          <w:b w:val="false"/>
          <w:i/>
          <w:color w:val="000000"/>
          <w:sz w:val="18"/>
        </w:rPr>
      </w:pPr>
      <w:r>
        <w:rPr>
          <w:rFonts w:ascii="Roboto;sans-serif" w:hAnsi="Roboto;sans-serif"/>
          <w:b w:val="false"/>
          <w:i/>
          <w:color w:val="000000"/>
          <w:sz w:val="18"/>
        </w:rPr>
        <w:t>Operating Activities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operating activities of $332.2 million for the nine months ended March 31, 2023 was primarily due to a net loss of $1,019.9 million, partially offset by a net increase in operating assets and liabilities of $81.8 million and an increase in non-cash adjustments of $605.9 million. The increase in operating assets and liabilities was primarily due to a $435.1 million increase in inventory, partially offset by a $296.6 million decrease in accounts payable and accrued expenses due to lower supplier settlements owed, decreased inventory spending, and a $65.8 million decrease in net operating lease liabilities due to lease payments and lease terminations. Non-cash adjustments primarily consisted of stock-based compensation expense, long-lived asset impairment expense, and depreciation and amortization.</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Investing activities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investing activities for the nine months ended March 31, 2023 of $51.4 million was primarily a result of capital expenditures, primarily related to software development and the continued build out of our studios.</w:t>
      </w:r>
    </w:p>
    <w:p>
      <w:pPr>
        <w:pStyle w:val="TextBody"/>
        <w:spacing w:before="0" w:after="0"/>
        <w:jc w:val="both"/>
        <w:rPr/>
      </w:pPr>
      <w:r>
        <w:rPr/>
      </w:r>
    </w:p>
    <w:p>
      <w:pPr>
        <w:pStyle w:val="TextBody"/>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Financing activities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financing activities of $70.0 million for the nine months ended March 31, 2023 was primarily related to exercises of stock options of $72.6 million, partially offset by $5.6 million in principal repayments on the Term Loan.</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Commitments</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March 31, 2023, our contractual obligations were as follows:</w:t>
      </w:r>
    </w:p>
    <w:tbl>
      <w:tblPr>
        <w:tblW w:w="10205" w:type="dxa"/>
        <w:jc w:val="left"/>
        <w:tblInd w:w="0" w:type="dxa"/>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886"/>
        <w:gridCol w:w="109"/>
        <w:gridCol w:w="109"/>
        <w:gridCol w:w="109"/>
        <w:gridCol w:w="109"/>
        <w:gridCol w:w="226"/>
        <w:gridCol w:w="706"/>
        <w:gridCol w:w="109"/>
        <w:gridCol w:w="109"/>
        <w:gridCol w:w="109"/>
        <w:gridCol w:w="109"/>
        <w:gridCol w:w="249"/>
        <w:gridCol w:w="780"/>
        <w:gridCol w:w="173"/>
      </w:tblGrid>
      <w:tr>
        <w:trPr/>
        <w:tc>
          <w:tcPr>
            <w:tcW w:w="1127"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9" w:type="dxa"/>
            <w:gridSpan w:val="27"/>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Minimum guarantees </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Supplier settlements </w:t>
            </w:r>
            <w:r>
              <w:rPr>
                <w:rFonts w:ascii="Roboto;sans-serif" w:hAnsi="Roboto;sans-serif"/>
                <w:b w:val="false"/>
                <w:color w:val="000000"/>
                <w:sz w:val="12"/>
              </w:rPr>
              <w:t>(6)</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(1) Lease obligations relate to our office space, warehouses, production studios, equipment, and retail showrooms. The original lease terms are between one and twenty-one years, and the majority of the lease agreements are renewable at the end of the lease period. The Company has finance lease obligations of $1.0 million, also included above.</w:t>
      </w:r>
    </w:p>
    <w:p>
      <w:pPr>
        <w:pStyle w:val="TextBody"/>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 xml:space="preserve">Risk Factors — Risks Related to Our Business— </w:t>
      </w:r>
      <w:r>
        <w:rPr>
          <w:rFonts w:ascii="Roboto;sans-serif" w:hAnsi="Roboto;sans-serif"/>
          <w:b w:val="false"/>
          <w:i/>
          <w:color w:val="000000"/>
          <w:sz w:val="14"/>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r>
        <w:rPr>
          <w:color w:val="000000"/>
        </w:rPr>
        <w:t xml:space="preserve"> </w:t>
      </w:r>
      <w:r>
        <w:rPr>
          <w:rFonts w:ascii="Roboto;sans-serif" w:hAnsi="Roboto;sans-serif"/>
          <w:b w:val="false"/>
          <w:color w:val="000000"/>
          <w:sz w:val="14"/>
        </w:rPr>
        <w:t>in our Form 10-K.</w:t>
      </w:r>
    </w:p>
    <w:p>
      <w:pPr>
        <w:pStyle w:val="TextBody"/>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Second Amended and Restated Credit Agreement, we are required to pay a commitment fee of 0.325% and 0.375% on a quarterly basis based on the unused portion of the Revolving Facility for the revolving loans maturing on December 10, 2026 and June 20, 2024, respectively. As of March 31, 2023, we had outstanding letters of credit totaling $79.3 million, which is classified as Restricted cash on the Condensed Consolidated Balance Sheet.</w:t>
      </w:r>
    </w:p>
    <w:p>
      <w:pPr>
        <w:pStyle w:val="TextBody"/>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all other non-cancelable contractual obligations. These contracts are primarily related to cloud computing costs.</w:t>
      </w:r>
    </w:p>
    <w:p>
      <w:pPr>
        <w:pStyle w:val="TextBody"/>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7 - Debt</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 for further details regarding our convertible senior notes obligations.</w:t>
      </w:r>
    </w:p>
    <w:p>
      <w:pPr>
        <w:pStyle w:val="TextBody"/>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(6) Supplier settlements relate to payments to third-party suppliers to exit purchase commitments.</w:t>
      </w:r>
    </w:p>
    <w:p>
      <w:pPr>
        <w:pStyle w:val="TextBody"/>
        <w:spacing w:before="0" w:after="6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 xml:space="preserve">As of March 31, 2023, our commitments to contract with third-party manufacturers for their inventory on-hand and component purchase commitments related to the manufacture of our products were estimated to be approximately $211.9 million. See </w:t>
      </w:r>
      <w:r>
        <w:rPr>
          <w:color w:val="000000"/>
        </w:rPr>
        <w:t>“</w:t>
      </w:r>
      <w:r>
        <w:rPr>
          <w:rFonts w:ascii="Roboto;sans-serif" w:hAnsi="Roboto;sans-serif"/>
          <w:b w:val="false"/>
          <w:i/>
          <w:color w:val="000000"/>
          <w:sz w:val="18"/>
        </w:rPr>
        <w:t>Risk Factors—Risks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spacing w:lineRule="auto" w:line="288" w:before="0" w:after="0"/>
        <w:jc w:val="both"/>
        <w:rPr/>
      </w:pPr>
      <w:r>
        <w:rPr>
          <w:rFonts w:ascii="Roboto;sans-serif" w:hAnsi="Roboto;sans-serif"/>
          <w:b w:val="false"/>
          <w:color w:val="000000"/>
          <w:sz w:val="18"/>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color w:val="000000"/>
        </w:rPr>
        <w:t>“</w:t>
      </w:r>
      <w:r>
        <w:rPr>
          <w:rFonts w:ascii="Roboto;sans-serif" w:hAnsi="Roboto;sans-serif"/>
          <w:b w:val="false"/>
          <w:i/>
          <w:color w:val="000000"/>
          <w:sz w:val="18"/>
        </w:rPr>
        <w:t>Management's Discussion and Analysis of Financial Condition and Results of Operations—Critical Accounting Estimates”</w:t>
      </w:r>
      <w:r>
        <w:rPr>
          <w:color w:val="000000"/>
        </w:rPr>
        <w:t xml:space="preserve"> </w:t>
      </w:r>
      <w:r>
        <w:rPr>
          <w:rFonts w:ascii="Roboto;sans-serif" w:hAnsi="Roboto;sans-serif"/>
          <w:b w:val="false"/>
          <w:color w:val="000000"/>
          <w:sz w:val="18"/>
        </w:rPr>
        <w:t>in Part I, Item 7 of our Form 10-K.</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Revenue Recognition</w:t>
      </w:r>
    </w:p>
    <w:p>
      <w:pPr>
        <w:pStyle w:val="TextBody"/>
        <w:spacing w:lineRule="auto" w:line="288" w:before="0" w:after="0"/>
        <w:jc w:val="both"/>
        <w:rPr/>
      </w:pPr>
      <w:r>
        <w:rPr>
          <w:rFonts w:ascii="Roboto;sans-serif" w:hAnsi="Roboto;sans-serif"/>
          <w:b w:val="false"/>
          <w:color w:val="000000"/>
          <w:sz w:val="18"/>
        </w:rPr>
        <w:t xml:space="preserve">As described in </w:t>
      </w:r>
      <w:r>
        <w:rPr>
          <w:rFonts w:ascii="Roboto;sans-serif" w:hAnsi="Roboto;sans-serif"/>
          <w:b w:val="false"/>
          <w:i/>
          <w:color w:val="000000"/>
          <w:sz w:val="18"/>
        </w:rPr>
        <w:t xml:space="preserve">Note 8 - Commitments and Contingencies </w:t>
      </w:r>
      <w:r>
        <w:rPr>
          <w:rFonts w:ascii="Roboto;sans-serif" w:hAnsi="Roboto;sans-serif"/>
          <w:b w:val="false"/>
          <w:color w:val="000000"/>
          <w:sz w:val="18"/>
        </w:rPr>
        <w:t>in the Notes to Condensed Consolidated Financial Statements, the Company announced voluntary recalls of the Company’s Tread+ and Tread products, permitting customers to return the products for a refund. The amount of a refund customers are eligible to receive may differ based on the status of an approved remediation of the issue driving the recall, and the age of the Connected Fitness Unit being returned. We estimate return reserves primarily based on historical and expected product returns, prod</w:t>
      </w:r>
      <w:r>
        <w:rPr>
          <w:rFonts w:ascii="Roboto;sans-serif" w:hAnsi="Roboto;sans-serif"/>
          <w:b w:val="false"/>
          <w:color w:val="000000"/>
          <w:sz w:val="18"/>
          <w:highlight w:val="white"/>
        </w:rPr>
        <w:t>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predicting expected product returns based on historical returns becomes less relevant, requiring reliance on highly subjective estimates based on our interpretation of how current conditions and factors will drive consumer behavior.</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50505"/>
          <w:sz w:val="18"/>
          <w:highlight w:val="white"/>
        </w:rPr>
        <w:t xml:space="preserve">On October 18, 2022, the CPSC and the Company jointly announced that consumers now have more time to get a full refund if they wish to return their Tread+. With the extension of the full refund period for one additional year, to November 6, 2023, the Company previously estimated that more Members would opt for a full refund, and accordingly increased the Company’s return reserve during the three months ended September 30, 2022. During the three months ended March 31, 2023, based on lower actual returns than previously estimated, the Company has updated its return reserve assumptions and has recognized an $11.9 million benefit to revenue. </w:t>
      </w:r>
      <w:r>
        <w:rPr>
          <w:rFonts w:ascii="Roboto;sans-serif" w:hAnsi="Roboto;sans-serif"/>
          <w:b w:val="false"/>
          <w:color w:val="050505"/>
          <w:sz w:val="18"/>
        </w:rPr>
        <w:t>As of March 31, 2023 and June 30, 2022, our return reserves related to the impacts of the recalls was $29.3 million and $39.9 million, respectively.</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 xml:space="preserve">Product Recall Related Matters </w:t>
      </w:r>
    </w:p>
    <w:p>
      <w:pPr>
        <w:pStyle w:val="TextBody"/>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The Company accrues cost of product recalls and potential corrective actions based on management estimate of when it is probable that a liability has been incurred and the amount can be reasonably estimated, which occurs when management commits to a corrective action plan or when required by regulatory requirements. Costs of product recalls and corrective actions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 Estimating both cost to repair each affected product and the number of units to be repaired is highly subjective and requires significant management judgment. Based on information that is currently available, management believes that the accruals are adequate. It is possible that substantial additional charges may be required in future periods based on new information, changes in facts and circumstances, and actions the Company may commit to or be required to undertake. During the three months ended March 31, 2023, the Company accrued an additional $21.6 million liability related to its product recall related matters. As of March 31, 2023 and June 30, 2022, accruals related to product recall related matters were $23.8 million and $1.8 million respectively.</w: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v:textbox>
              </v:rect>
            </w:pict>
          </mc:Fallback>
        </mc:AlternateContent>
      </w:r>
    </w:p>
    <w:p>
      <w:pPr>
        <w:pStyle w:val="TextBody"/>
        <w:spacing w:before="0" w:after="0"/>
        <w:rPr/>
      </w:pPr>
      <w:r>
        <w:rPr/>
      </w:r>
    </w:p>
    <w:p>
      <w:pPr>
        <w:pStyle w:val="TextBody"/>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 Summary of Significant Accounting Policies</w:t>
      </w:r>
      <w:r>
        <w:rPr>
          <w:color w:val="000000"/>
        </w:rPr>
        <w:t xml:space="preserve"> </w:t>
      </w:r>
      <w:r>
        <w:rPr>
          <w:rFonts w:ascii="Roboto;sans-serif" w:hAnsi="Roboto;sans-serif"/>
          <w:b w:val="false"/>
          <w:color w:val="000000"/>
          <w:sz w:val="18"/>
        </w:rPr>
        <w:t xml:space="preserve">in the Notes to Condensed Consolidated Financial Statements in Part I, Item 1 of this Quarterly Report on Form 10-Q under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Quarterly Report on Form 10-Q.</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Roboto;sans-serif" w:hAnsi="Roboto;sans-serif"/>
          <w:b/>
          <w:color w:val="000000"/>
          <w:sz w:val="18"/>
        </w:rPr>
      </w:pPr>
      <w:r>
        <w:rPr>
          <w:rFonts w:ascii="Roboto;sans-serif" w:hAnsi="Roboto;sans-serif"/>
          <w:b/>
          <w:color w:val="000000"/>
          <w:sz w:val="18"/>
        </w:rPr>
        <w:t>Item 3. Quantitative and Qualitative Disclosure About Market Risk</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had Cash and cash equivalents of $873.6 million as of March 31, 2023.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 short-term rates in the future. A hypothetical 10% change in the interest rate on our Second Amended and Restated Credit Agreement for all periods presented would not have a material impact on our condensed consolidated financial statements.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Given the recent rise in inflation,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both"/>
        <w:rPr>
          <w:rFonts w:ascii="Roboto;sans-serif" w:hAnsi="Roboto;sans-serif"/>
          <w:b/>
          <w:color w:val="000000"/>
          <w:sz w:val="18"/>
        </w:rPr>
      </w:pPr>
      <w:r>
        <w:rPr>
          <w:rFonts w:ascii="Roboto;sans-serif" w:hAnsi="Roboto;sans-serif"/>
          <w:b/>
          <w:color w:val="000000"/>
          <w:sz w:val="18"/>
        </w:rPr>
        <w:t>Item 4. Controls and Procedures</w:t>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Under the supervision of our Chief Executive Officer and Chief Financial Officer, we evaluated the effectiveness of our disclosure controls and procedures (as defined in Rules 13a-15(e) and 15d-15(e) under the Exchange Act) as of March 31, 2023.</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March 31, 2023 due to the material weaknesses in our internal control over financial reporting described below.</w:t>
      </w:r>
    </w:p>
    <w:p>
      <w:pPr>
        <w:pStyle w:val="TextBody"/>
        <w:spacing w:before="0" w:after="0"/>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Previously Reported Material Weaknesses</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As reported in Part II, Item 9A. “Controls and Procedures” of our Form 10-K, we previously identified a material weakness in our internal control over financial reporting related to controls around the existence, completeness, and valuation of inventory.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v:textbox>
              </v:rect>
            </w:pict>
          </mc:Fallback>
        </mc:AlternateConten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While management has made enhancements to its physical inventory compilation process throughout fiscal years 2022 and 2023, we identified ongoing deficiencies in the operation of controls to validate the completeness and accuracy of key reports used in compiling and reviewing the results of our physical inventory counts.</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These same reports are also used in other controls over the valuation of ending inventory balances which results in those controls also being deficient. We continue to implement remediation efforts, which include:</w:t>
      </w:r>
    </w:p>
    <w:p>
      <w:pPr>
        <w:pStyle w:val="TextBody"/>
        <w:spacing w:before="0" w:after="0"/>
        <w:rPr/>
      </w:pPr>
      <w:r>
        <w:rPr/>
      </w:r>
    </w:p>
    <w:p>
      <w:pPr>
        <w:pStyle w:val="TextBody"/>
        <w:spacing w:lineRule="auto" w:line="288" w:before="0" w:after="60"/>
        <w:ind w:left="0" w:right="0" w:hanging="360"/>
        <w:rPr/>
      </w:pPr>
      <w:r>
        <w:rPr>
          <w:color w:val="000000"/>
        </w:rPr>
        <w:t>•</w:t>
      </w:r>
      <w:r>
        <w:rPr>
          <w:rFonts w:ascii="Roboto;sans-serif" w:hAnsi="Roboto;sans-serif"/>
          <w:b w:val="false"/>
          <w:color w:val="000000"/>
          <w:sz w:val="18"/>
        </w:rPr>
        <w:t>Increasing our communication with third-party logistics providers and our oversight over third-party logistics providers’ inventory management policies and procedures.</w:t>
      </w:r>
    </w:p>
    <w:p>
      <w:pPr>
        <w:pStyle w:val="TextBody"/>
        <w:spacing w:lineRule="auto" w:line="288" w:before="0" w:after="60"/>
        <w:ind w:left="0" w:right="0" w:hanging="360"/>
        <w:rPr/>
      </w:pPr>
      <w:r>
        <w:rPr>
          <w:color w:val="000000"/>
        </w:rPr>
        <w:t>•</w:t>
      </w:r>
      <w:r>
        <w:rPr>
          <w:rFonts w:ascii="Roboto;sans-serif" w:hAnsi="Roboto;sans-serif"/>
          <w:b w:val="false"/>
          <w:color w:val="000000"/>
          <w:sz w:val="18"/>
        </w:rPr>
        <w:t>Implementing additional monitoring controls to ensure consistency of inventory data across Peloton internal systems, our warehouses, and third-party logistics providers.</w:t>
      </w:r>
    </w:p>
    <w:p>
      <w:pPr>
        <w:pStyle w:val="TextBody"/>
        <w:spacing w:lineRule="auto" w:line="288" w:before="0" w:after="60"/>
        <w:ind w:left="0" w:right="0" w:hanging="360"/>
        <w:rPr/>
      </w:pPr>
      <w:r>
        <w:rPr>
          <w:color w:val="000000"/>
        </w:rPr>
        <w:t>•</w:t>
      </w:r>
      <w:r>
        <w:rPr>
          <w:rFonts w:ascii="Roboto;sans-serif" w:hAnsi="Roboto;sans-serif"/>
          <w:b w:val="false"/>
          <w:color w:val="000000"/>
          <w:sz w:val="18"/>
        </w:rPr>
        <w:t>Evaluating the effectiveness of our current cycle count program and controls, including IT general controls over systems facilitating cycle counts, to automate inventory count and reporting.</w:t>
      </w:r>
    </w:p>
    <w:p>
      <w:pPr>
        <w:pStyle w:val="TextBody"/>
        <w:spacing w:lineRule="auto" w:line="288" w:before="0" w:after="0"/>
        <w:ind w:left="0" w:right="0" w:hanging="360"/>
        <w:rPr/>
      </w:pPr>
      <w:r>
        <w:rPr>
          <w:color w:val="000000"/>
        </w:rPr>
        <w:t>•</w:t>
      </w:r>
      <w:r>
        <w:rPr>
          <w:rFonts w:ascii="Roboto;sans-serif" w:hAnsi="Roboto;sans-serif"/>
          <w:b w:val="false"/>
          <w:color w:val="000000"/>
          <w:sz w:val="18"/>
        </w:rPr>
        <w:t>Providing training of standard operating procedures and internal controls to key stakeholders within the supply chain, logistics, and inventory processes.</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In addition, in connection with our assessment of the effectiveness of internal control over financial reporting as of June 30, 2022, control deficiencies were identified that, in the aggregate, represent a material weakness in our internal control over financial reporting. These control deficiencies relate to (i) the design of our controls associated with the application of fair value measurements pertaining to goodwill and long-lived asset impairment analyses, as well as (ii) evidence of the review supporting the validation of the inputs and assumptions used in our goodwill and long-lived asset impairment testing and restructuring assessment. In order to remediate this material weakness, we are implementing the following measures:</w:t>
      </w:r>
    </w:p>
    <w:p>
      <w:pPr>
        <w:pStyle w:val="TextBody"/>
        <w:spacing w:before="0" w:after="0"/>
        <w:rPr/>
      </w:pPr>
      <w:r>
        <w:rPr/>
      </w:r>
    </w:p>
    <w:p>
      <w:pPr>
        <w:pStyle w:val="TextBody"/>
        <w:spacing w:lineRule="auto" w:line="288" w:before="0" w:after="60"/>
        <w:ind w:left="0" w:right="0" w:hanging="360"/>
        <w:rPr/>
      </w:pPr>
      <w:r>
        <w:rPr>
          <w:color w:val="000000"/>
        </w:rPr>
        <w:t>•</w:t>
      </w:r>
      <w:r>
        <w:rPr>
          <w:rFonts w:ascii="Roboto;sans-serif" w:hAnsi="Roboto;sans-serif"/>
          <w:b w:val="false"/>
          <w:color w:val="000000"/>
          <w:sz w:val="18"/>
        </w:rPr>
        <w:t>Enhancing the design of our controls and implementing guidelines setting forth specific requirements for documenting our procedures for validating the data used in our impairment analysis and restructuring assessment.</w:t>
      </w:r>
    </w:p>
    <w:p>
      <w:pPr>
        <w:pStyle w:val="TextBody"/>
        <w:spacing w:lineRule="auto" w:line="268" w:before="0" w:after="60"/>
        <w:ind w:left="0" w:right="0" w:hanging="360"/>
        <w:rPr/>
      </w:pPr>
      <w:r>
        <w:rPr>
          <w:color w:val="000000"/>
        </w:rPr>
        <w:t>•</w:t>
      </w:r>
      <w:r>
        <w:rPr>
          <w:rFonts w:ascii="Roboto;sans-serif" w:hAnsi="Roboto;sans-serif"/>
          <w:b w:val="false"/>
          <w:color w:val="000000"/>
          <w:sz w:val="18"/>
        </w:rPr>
        <w:t>Implementing additional review and analysis procedures to validate compliance with our guidelines and our policies outlining the application fair value in accounting processes when required, including steps to improve the operation and monitoring of control activities and procedures associated with our impairment assessments.</w:t>
      </w:r>
    </w:p>
    <w:p>
      <w:pPr>
        <w:pStyle w:val="TextBody"/>
        <w:spacing w:lineRule="auto" w:line="288" w:before="0" w:after="0"/>
        <w:ind w:left="0" w:right="0" w:hanging="360"/>
        <w:rPr/>
      </w:pPr>
      <w:r>
        <w:rPr>
          <w:color w:val="000000"/>
        </w:rPr>
        <w:t>•</w:t>
      </w:r>
      <w:r>
        <w:rPr>
          <w:rFonts w:ascii="Roboto;sans-serif" w:hAnsi="Roboto;sans-serif"/>
          <w:b w:val="false"/>
          <w:color w:val="000000"/>
          <w:sz w:val="18"/>
        </w:rPr>
        <w:t>Determining any additional resources that may be necessary to effectively implement additional review and analysis procedures over the assumptions, inputs, and methodologies described herein.</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The actions that we are taking are subject to ongoing senior management review, as well as oversight of the audit committee of our Board of Directors. We also may conclude that additional measures may be required to remediate the material weaknesses or determine to modify the remediation plans described above. We will not be able to conclude that we have remediated the material weaknesses until the applicable controls are fully implemented and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These material weaknesses did not result in any material misstatements in our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Other than the remediation efforts described above, 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240" w:after="283"/>
        <w:rPr>
          <w:rFonts w:ascii="Roboto;sans-serif" w:hAnsi="Roboto;sans-serif"/>
          <w:b/>
          <w:color w:val="000000"/>
          <w:sz w:val="18"/>
        </w:rPr>
      </w:pPr>
      <w:r>
        <w:rPr>
          <w:rFonts w:ascii="Roboto;sans-serif" w:hAnsi="Roboto;sans-serif"/>
          <w:b/>
          <w:color w:val="000000"/>
          <w:sz w:val="18"/>
        </w:rPr>
        <w:t>Item 1. Legal Proceedings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v:textbox>
              </v:rect>
            </w:pict>
          </mc:Fallback>
        </mc:AlternateConten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claims or proceedings, regardless of the merits, is inherently uncertain.</w:t>
      </w:r>
    </w:p>
    <w:p>
      <w:pPr>
        <w:pStyle w:val="TextBody"/>
        <w:spacing w:before="0" w:after="0"/>
        <w:rPr/>
      </w:pPr>
      <w:r>
        <w:rPr/>
      </w:r>
    </w:p>
    <w:p>
      <w:pPr>
        <w:pStyle w:val="TextBody"/>
        <w:spacing w:lineRule="auto" w:line="288" w:before="0" w:after="0"/>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8 - Commitments and Contingencies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240" w:after="283"/>
        <w:rPr>
          <w:rFonts w:ascii="Roboto;sans-serif" w:hAnsi="Roboto;sans-serif"/>
          <w:b/>
          <w:color w:val="000000"/>
          <w:sz w:val="18"/>
        </w:rPr>
      </w:pPr>
      <w:r>
        <w:rPr>
          <w:rFonts w:ascii="Roboto;sans-serif" w:hAnsi="Roboto;sans-serif"/>
          <w:b/>
          <w:color w:val="000000"/>
          <w:sz w:val="18"/>
        </w:rPr>
        <w:t>Item 1A. Risk Factors</w:t>
      </w:r>
    </w:p>
    <w:p>
      <w:pPr>
        <w:pStyle w:val="TextBody"/>
        <w:spacing w:lineRule="auto" w:line="276" w:before="0" w:after="0"/>
        <w:rPr>
          <w:rFonts w:ascii="Roboto;sans-serif" w:hAnsi="Roboto;sans-serif"/>
          <w:b w:val="false"/>
          <w:i/>
          <w:color w:val="000000"/>
          <w:sz w:val="18"/>
        </w:rPr>
      </w:pPr>
      <w:r>
        <w:rPr>
          <w:rFonts w:ascii="Roboto;sans-serif" w:hAnsi="Roboto;sans-serif"/>
          <w:b w:val="false"/>
          <w:i/>
          <w:color w:val="000000"/>
          <w:sz w:val="18"/>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and the information included elsewhere in this Quarterly Report on Form 10-Q and in our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 Except for as stated below, there have been no material changes to our risk factors since the Form 10-K.</w:t>
      </w:r>
    </w:p>
    <w:p>
      <w:pPr>
        <w:pStyle w:val="TextBody"/>
        <w:spacing w:before="0" w:after="0"/>
        <w:rPr/>
      </w:pPr>
      <w:r>
        <w:rPr/>
      </w:r>
    </w:p>
    <w:p>
      <w:pPr>
        <w:pStyle w:val="TextBody"/>
        <w:spacing w:before="0" w:after="0"/>
        <w:rPr/>
      </w:pPr>
      <w:r>
        <w:rPr/>
      </w:r>
    </w:p>
    <w:p>
      <w:pPr>
        <w:pStyle w:val="TextBody"/>
        <w:spacing w:lineRule="auto" w:line="268" w:before="0" w:after="0"/>
        <w:jc w:val="both"/>
        <w:rPr>
          <w:rFonts w:ascii="Roboto;sans-serif" w:hAnsi="Roboto;sans-serif"/>
          <w:b/>
          <w:color w:val="000000"/>
          <w:sz w:val="18"/>
          <w:u w:val="single"/>
        </w:rPr>
      </w:pPr>
      <w:r>
        <w:rPr>
          <w:rFonts w:ascii="Roboto;sans-serif" w:hAnsi="Roboto;sans-serif"/>
          <w:b/>
          <w:color w:val="000000"/>
          <w:sz w:val="18"/>
          <w:u w:val="single"/>
        </w:rPr>
        <w:t>Risks Related to Our Connected Fitness Products and Members</w:t>
      </w:r>
    </w:p>
    <w:p>
      <w:pPr>
        <w:pStyle w:val="TextBody"/>
        <w:spacing w:before="0" w:after="0"/>
        <w:jc w:val="both"/>
        <w:rPr/>
      </w:pPr>
      <w:r>
        <w:rPr/>
      </w:r>
    </w:p>
    <w:p>
      <w:pPr>
        <w:pStyle w:val="TextBody"/>
        <w:spacing w:lineRule="auto" w:line="288" w:before="0" w:after="0"/>
        <w:rPr>
          <w:rFonts w:ascii="Roboto;sans-serif" w:hAnsi="Roboto;sans-serif"/>
          <w:b/>
          <w:i/>
          <w:color w:val="000000"/>
          <w:sz w:val="18"/>
        </w:rPr>
      </w:pPr>
      <w:r>
        <w:rPr>
          <w:rFonts w:ascii="Roboto;sans-serif" w:hAnsi="Roboto;sans-serif"/>
          <w:b/>
          <w:i/>
          <w:color w:val="000000"/>
          <w:sz w:val="18"/>
        </w:rPr>
        <w:t>Safety issues involving our products could adversely affect our business and result in harm to our reputation.</w:t>
      </w:r>
    </w:p>
    <w:p>
      <w:pPr>
        <w:pStyle w:val="TextBody"/>
        <w:spacing w:before="0" w:after="0"/>
        <w:rPr/>
      </w:pPr>
      <w:r>
        <w:rPr/>
      </w:r>
    </w:p>
    <w:p>
      <w:pPr>
        <w:pStyle w:val="TextBody"/>
        <w:spacing w:lineRule="auto" w:line="288" w:before="0" w:after="0"/>
        <w:rPr/>
      </w:pPr>
      <w:r>
        <w:rPr>
          <w:rFonts w:ascii="Roboto;sans-serif" w:hAnsi="Roboto;sans-serif"/>
          <w:b w:val="false"/>
          <w:color w:val="000000"/>
          <w:sz w:val="18"/>
        </w:rPr>
        <w:t xml:space="preserve">We offer complex hardware, and our products may be alleged, and have been alleged, to have defects that result in potential product safety issues. Any defects could impact our customer experience, tarnish our brand reputation, or make our products and services unsafe and create a risk of property damage and/or personal injury. We also may become subject to the risks and uncertainties of product liability claims and related litigation. For example, in May 2021, we initiated a voluntary recall of our Tread+ product in coordination with the U.S. Consumer Product Safety Commission (“CPSC”) in response to reports of injuries associated with our Tread+, one of which led to the death of a child. In 2020, we conducted a voluntary recall in coordination with the CPSC of first generation clip-in pedals in our Peloton Bike, our original model bike, due to a risk that the pedal can break during use, causing injuries. In addition, we have determined that there is a potential product safety issue involving the seat post in the original model Peloton Bike (not Peloton Bike+) and have voluntarily notified the CPSC. During the three months ended March 31, 2023, we determined that a corrective action plan ("CAP") is warranted and are cooperating with the CPSC to finalize the proposed CAP. As of April 30, 2023, the Company has identified 35 reports, out of over 2.4 million units sold in the U.S. and Canada, in which the seat post has broken during use. Of these reports, 12 have included reports of injuries, including one wrist fracture. Once finalized, we would make available the approved remedy to original model Bike owners. During the three months ended March 31, 2023, we accrued expenses in connection with implementation of the proposed CAP, which were not material to the current period financial performance. We may incur incremental expenses or face other challenges in connection with the implementation of the CAP beyond what we have currently estimated to be probable and reasonably estimable, including if the number of reported incidents materially increases, which may adversely impact our operating results, brand reputation, demand for our products, and business, although we do not currently anticipate that the total expenses related to implementation of the CAP will be material to our financial position. The CAP also may require significant management attention, and we could become subject to class action litigation, private personal injury claims, and other regulatory proceedings related to this matter that, regardless of their merits, could harm our reputation, divert management’s attention from our operations, and result in substantial legal fees, judgments, fines, penalties, and other costs. </w:t>
      </w:r>
      <w:r>
        <w:rPr>
          <w:rFonts w:ascii="Roboto;sans-serif" w:hAnsi="Roboto;sans-serif"/>
          <w:b w:val="false"/>
          <w:color w:val="000000"/>
          <w:sz w:val="18"/>
          <w:highlight w:val="white"/>
        </w:rPr>
        <w:t xml:space="preserve">See </w:t>
      </w:r>
      <w:r>
        <w:rPr>
          <w:rFonts w:ascii="Roboto;sans-serif" w:hAnsi="Roboto;sans-serif"/>
          <w:b w:val="false"/>
          <w:i/>
          <w:color w:val="000000"/>
          <w:sz w:val="18"/>
        </w:rPr>
        <w:t>Note 8 – Commitment and Contingencies</w:t>
      </w:r>
      <w:r>
        <w:rPr>
          <w:color w:val="000000"/>
        </w:rPr>
        <w:t xml:space="preserve"> </w:t>
      </w:r>
      <w:r>
        <w:rPr>
          <w:rFonts w:ascii="Roboto;sans-serif" w:hAnsi="Roboto;sans-serif"/>
          <w:b w:val="false"/>
          <w:color w:val="000000"/>
          <w:sz w:val="18"/>
        </w:rPr>
        <w:t xml:space="preserve">in the Notes to our Condensed Consolidated Financial Statements in Part I, Item 1.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v:textbox>
              </v:rect>
            </w:pict>
          </mc:Fallback>
        </mc:AlternateContent>
      </w:r>
    </w:p>
    <w:p>
      <w:pPr>
        <w:pStyle w:val="TextBody"/>
        <w:spacing w:before="0" w:after="0"/>
        <w:rPr/>
      </w:pPr>
      <w:r>
        <w:rPr/>
      </w: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Item 2. Unregistered Sales of Equity Securities and Use of Proceeds</w:t>
      </w:r>
    </w:p>
    <w:p>
      <w:pPr>
        <w:pStyle w:val="TextBody"/>
        <w:spacing w:before="0" w:after="0"/>
        <w:rPr/>
      </w:pPr>
      <w:r>
        <w:rPr/>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Item 3. Defaults Upon Senior Securities</w:t>
      </w:r>
    </w:p>
    <w:p>
      <w:pPr>
        <w:pStyle w:val="TextBody"/>
        <w:spacing w:before="0" w:after="0"/>
        <w:rPr/>
      </w:pPr>
      <w:r>
        <w:rPr/>
      </w:r>
    </w:p>
    <w:p>
      <w:pPr>
        <w:pStyle w:val="TextBody"/>
        <w:spacing w:lineRule="auto" w:line="288" w:before="0" w:after="240"/>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Item 4. Mine Safety Disclosures</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Item 5. Other Information</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 xml:space="preserve">We are reporting the following information in lieu of reporting on a Current Report on Form 8-K under: </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 xml:space="preserve">(i) Item 1.01 Entry into a Material Definitive Agreement </w:t>
      </w:r>
    </w:p>
    <w:p>
      <w:pPr>
        <w:pStyle w:val="TextBody"/>
        <w:spacing w:before="0" w:after="0"/>
        <w:rPr/>
      </w:pPr>
      <w:r>
        <w:rPr/>
      </w:r>
    </w:p>
    <w:p>
      <w:pPr>
        <w:pStyle w:val="TextBody"/>
        <w:spacing w:lineRule="auto" w:line="288" w:before="0" w:after="0"/>
        <w:rPr/>
      </w:pPr>
      <w:r>
        <w:rPr>
          <w:rFonts w:ascii="Roboto;sans-serif" w:hAnsi="Roboto;sans-serif"/>
          <w:b w:val="false"/>
          <w:color w:val="000000"/>
          <w:sz w:val="18"/>
        </w:rPr>
        <w:t xml:space="preserve">On May 2, 2023, the Company entered into the Second Amendment with JPMorgan Chase Bank, N.A., as administrative agent, and the revolving lenders party thereto. The Second Amendment amends the Second Amended and Restated Credit Agreement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will be limited to the lesser of (a) $400.0 million and (b) an amount equal to the “Subscription” revenue of the Company and its subsidiaries for the most recently completed fiscal quarter of the Company. For more information, see </w:t>
      </w:r>
      <w:r>
        <w:rPr>
          <w:rFonts w:ascii="Roboto;sans-serif" w:hAnsi="Roboto;sans-serif"/>
          <w:b w:val="false"/>
          <w:i/>
          <w:color w:val="000000"/>
          <w:sz w:val="18"/>
        </w:rPr>
        <w:t xml:space="preserve">Liquidity and Capital Resources </w:t>
      </w:r>
      <w:r>
        <w:rPr>
          <w:rFonts w:ascii="Roboto;sans-serif" w:hAnsi="Roboto;sans-serif"/>
          <w:b w:val="false"/>
          <w:color w:val="000000"/>
          <w:sz w:val="18"/>
        </w:rPr>
        <w:t xml:space="preserve">in the Management’s Discussion and Analysis of Financial Condition and Results of Operation in Part I, Item 2 of this Quarterly Report on Form 10-Q under the section titled </w:t>
      </w:r>
      <w:r>
        <w:rPr>
          <w:color w:val="000000"/>
        </w:rPr>
        <w:t>“</w:t>
      </w:r>
      <w:r>
        <w:rPr>
          <w:rFonts w:ascii="Roboto;sans-serif" w:hAnsi="Roboto;sans-serif"/>
          <w:b w:val="false"/>
          <w:i/>
          <w:color w:val="000000"/>
          <w:sz w:val="18"/>
        </w:rPr>
        <w:t>Second Amended and Restated Credit Agreement.”</w:t>
      </w:r>
      <w:r>
        <w:rPr>
          <w:color w:val="000000"/>
        </w:rPr>
        <w:t xml:space="preserve"> </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(ii) Item 5.02 Departure of Directors or Certain Officers; Election of Directors; Appointment of Certain Officers; Compensatory Arrangements of Certain Officers.</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On May 1, 2023, the Board of Directors of the Company, based upon a recommendation from its Compensation Committee, approved an annual base salary increase from $1.0 million to $1.25 million, effective as of May 8, 2023 for Barry McCarthy, the Company’s Chief Executive Officer and President. All other terms of Mr. McCarthy’s employment, including the terms of his existing equity awards, remain unchanged.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v:textbox>
              </v:rect>
            </w:pict>
          </mc:Fallback>
        </mc:AlternateContent>
      </w:r>
    </w:p>
    <w:p>
      <w:pPr>
        <w:pStyle w:val="TextBody"/>
        <w:spacing w:before="0" w:after="0"/>
        <w:rPr/>
      </w:pPr>
      <w:r>
        <w:rPr/>
      </w:r>
    </w:p>
    <w:p>
      <w:pPr>
        <w:pStyle w:val="TextBody"/>
        <w:spacing w:lineRule="auto" w:line="288" w:before="0" w:after="0"/>
        <w:rPr>
          <w:rFonts w:ascii="Roboto;sans-serif" w:hAnsi="Roboto;sans-serif"/>
          <w:b/>
          <w:color w:val="000000"/>
          <w:sz w:val="18"/>
        </w:rPr>
      </w:pPr>
      <w:r>
        <w:rPr>
          <w:rFonts w:ascii="Roboto;sans-serif" w:hAnsi="Roboto;sans-serif"/>
          <w:b/>
          <w:color w:val="000000"/>
          <w:sz w:val="18"/>
        </w:rPr>
        <w:t>Item 6. Exhibits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42"/>
        <w:gridCol w:w="301"/>
        <w:gridCol w:w="303"/>
        <w:gridCol w:w="109"/>
        <w:gridCol w:w="109"/>
        <w:gridCol w:w="109"/>
        <w:gridCol w:w="1544"/>
        <w:gridCol w:w="1444"/>
        <w:gridCol w:w="1457"/>
        <w:gridCol w:w="233"/>
        <w:gridCol w:w="233"/>
        <w:gridCol w:w="176"/>
        <w:gridCol w:w="303"/>
        <w:gridCol w:w="303"/>
        <w:gridCol w:w="166"/>
        <w:gridCol w:w="275"/>
        <w:gridCol w:w="275"/>
        <w:gridCol w:w="276"/>
        <w:gridCol w:w="259"/>
        <w:gridCol w:w="259"/>
        <w:gridCol w:w="245"/>
        <w:gridCol w:w="433"/>
        <w:gridCol w:w="433"/>
        <w:gridCol w:w="618"/>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3" w:type="dxa"/>
            <w:gridSpan w:val="12"/>
            <w:tcBorders/>
            <w:shd w:fill="FEFEFE"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w:t>
            </w:r>
          </w:p>
        </w:tc>
        <w:tc>
          <w:tcPr>
            <w:tcW w:w="1484" w:type="dxa"/>
            <w:gridSpan w:val="3"/>
            <w:vMerge w:val="restart"/>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color w:val="000000"/>
                <w:sz w:val="18"/>
              </w:rPr>
            </w:pPr>
            <w:r>
              <w:rPr>
                <w:rFonts w:ascii="Roboto;sans-serif" w:hAnsi="Roboto;sans-serif"/>
                <w:b/>
                <w:color w:val="000000"/>
                <w:sz w:val="18"/>
              </w:rPr>
              <w:t>Filed or Furnished Herewith</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color w:val="000000"/>
                <w:sz w:val="18"/>
              </w:rPr>
            </w:pPr>
            <w:r>
              <w:rPr>
                <w:rFonts w:ascii="Roboto;sans-serif" w:hAnsi="Roboto;sans-serif"/>
                <w:b/>
                <w:color w:val="000000"/>
                <w:sz w:val="18"/>
              </w:rPr>
              <w:t>Exhibit Title</w:t>
            </w:r>
          </w:p>
        </w:tc>
        <w:tc>
          <w:tcPr>
            <w:tcW w:w="642"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76" w:before="0" w:after="283"/>
              <w:jc w:val="center"/>
              <w:rPr>
                <w:rFonts w:ascii="Roboto;sans-serif" w:hAnsi="Roboto;sans-serif"/>
                <w:b/>
                <w:color w:val="000000"/>
                <w:sz w:val="18"/>
              </w:rPr>
            </w:pPr>
            <w:r>
              <w:rPr>
                <w:rFonts w:ascii="Roboto;sans-serif" w:hAnsi="Roboto;sans-serif"/>
                <w:b/>
                <w:color w:val="000000"/>
                <w:sz w:val="18"/>
              </w:rPr>
              <w:t>Form</w:t>
            </w:r>
          </w:p>
        </w:tc>
        <w:tc>
          <w:tcPr>
            <w:tcW w:w="772"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76" w:before="0" w:after="283"/>
              <w:jc w:val="center"/>
              <w:rPr>
                <w:rFonts w:ascii="Roboto;sans-serif" w:hAnsi="Roboto;sans-serif"/>
                <w:b/>
                <w:color w:val="000000"/>
                <w:sz w:val="18"/>
              </w:rPr>
            </w:pPr>
            <w:r>
              <w:rPr>
                <w:rFonts w:ascii="Roboto;sans-serif" w:hAnsi="Roboto;sans-serif"/>
                <w:b/>
                <w:color w:val="000000"/>
                <w:sz w:val="18"/>
              </w:rPr>
              <w:t>File No.</w:t>
            </w:r>
          </w:p>
        </w:tc>
        <w:tc>
          <w:tcPr>
            <w:tcW w:w="826"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76" w:before="0" w:after="283"/>
              <w:jc w:val="center"/>
              <w:rPr>
                <w:rFonts w:ascii="Roboto;sans-serif" w:hAnsi="Roboto;sans-serif"/>
                <w:b/>
                <w:color w:val="000000"/>
                <w:sz w:val="18"/>
              </w:rPr>
            </w:pPr>
            <w:r>
              <w:rPr>
                <w:rFonts w:ascii="Roboto;sans-serif" w:hAnsi="Roboto;sans-serif"/>
                <w:b/>
                <w:color w:val="000000"/>
                <w:sz w:val="18"/>
              </w:rPr>
              <w:t>Exhibit</w:t>
            </w:r>
          </w:p>
        </w:tc>
        <w:tc>
          <w:tcPr>
            <w:tcW w:w="763"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76" w:before="0" w:after="283"/>
              <w:jc w:val="center"/>
              <w:rPr>
                <w:rFonts w:ascii="Roboto;sans-serif" w:hAnsi="Roboto;sans-serif"/>
                <w:b/>
                <w:color w:val="000000"/>
                <w:sz w:val="18"/>
              </w:rPr>
            </w:pPr>
            <w:r>
              <w:rPr>
                <w:rFonts w:ascii="Roboto;sans-serif" w:hAnsi="Roboto;sans-serif"/>
                <w:b/>
                <w:color w:val="000000"/>
                <w:sz w:val="18"/>
              </w:rPr>
              <w:t>Filing Date</w:t>
            </w:r>
          </w:p>
        </w:tc>
        <w:tc>
          <w:tcPr>
            <w:tcW w:w="1484" w:type="dxa"/>
            <w:gridSpan w:val="3"/>
            <w:vMerge w:val="continue"/>
            <w:tcBorders/>
            <w:shd w:fill="FEFEFE" w:val="clear"/>
            <w:tcMar>
              <w:top w:w="0" w:type="dxa"/>
              <w:left w:w="0" w:type="dxa"/>
              <w:bottom w:w="0" w:type="dxa"/>
              <w:right w:w="0" w:type="dxa"/>
            </w:tcMar>
            <w:vAlign w:val="center"/>
          </w:tcPr>
          <w:p>
            <w:pPr>
              <w:pStyle w:val="Normal"/>
              <w:rPr/>
            </w:pPr>
            <w:r>
              <w:rPr/>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Restated Certificate of Incorporation. </w:t>
            </w:r>
          </w:p>
        </w:tc>
        <w:tc>
          <w:tcPr>
            <w:tcW w:w="64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77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63" w:type="dxa"/>
            <w:gridSpan w:val="3"/>
            <w:tcBorders/>
            <w:shd w:fill="FEFEFE"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48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Amended and Restated Bylaws.</w:t>
            </w:r>
          </w:p>
        </w:tc>
        <w:tc>
          <w:tcPr>
            <w:tcW w:w="64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7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63" w:type="dxa"/>
            <w:gridSpan w:val="3"/>
            <w:tcBorders/>
            <w:shd w:fill="FEFEFE"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04/27/2020</w:t>
            </w:r>
          </w:p>
        </w:tc>
        <w:tc>
          <w:tcPr>
            <w:tcW w:w="148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pton-secondamendmentfinal.htm">
              <w:r>
                <w:rPr>
                  <w:rStyle w:val="InternetLink"/>
                </w:rPr>
                <w:t xml:space="preserve">Second Amendment to Second Amended and Restated Credit Agreement, dated as of </w:t>
              </w:r>
            </w:hyperlink>
            <w:hyperlink w:anchor="pton-secondamendmentfinal.htm">
              <w:r>
                <w:rPr>
                  <w:rStyle w:val="InternetLink"/>
                </w:rPr>
                <w:t>May 2,</w:t>
              </w:r>
            </w:hyperlink>
            <w:hyperlink w:anchor="pton-secondamendmentfinal.htm">
              <w:r>
                <w:rPr>
                  <w:rStyle w:val="InternetLink"/>
                </w:rPr>
                <w:t xml:space="preserve"> 2023, among the Company, the revolving lenders party thereto and JPMorgan Chase Bank, N.A., as administrative agent.</w:t>
              </w:r>
            </w:hyperlink>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0"/>
              <w:jc w:val="left"/>
              <w:rPr/>
            </w:pPr>
            <w:hyperlink w:anchor="q3fy2310-q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0"/>
              <w:jc w:val="left"/>
              <w:rPr/>
            </w:pPr>
            <w:hyperlink w:anchor="q3fy2310-q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0"/>
              <w:jc w:val="left"/>
              <w:rPr/>
            </w:pPr>
            <w:hyperlink w:anchor="q3fy2310-q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0"/>
              <w:jc w:val="left"/>
              <w:rPr/>
            </w:pPr>
            <w:hyperlink w:anchor="q3fy2310-q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101.INS</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Instance Document - the instance document does not appear in the Interactive Data File because its XBRL tags are embedded within the Inline XBRL document.</w:t>
            </w:r>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3"/>
            <w:tcBorders/>
            <w:shd w:fill="FEFEFE"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iXBRL and contained in Exhibit 101).</w:t>
            </w:r>
          </w:p>
        </w:tc>
        <w:tc>
          <w:tcPr>
            <w:tcW w:w="64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EFEFE" w:val="clear"/>
            <w:tcMar>
              <w:top w:w="0" w:type="dxa"/>
              <w:left w:w="0" w:type="dxa"/>
              <w:bottom w:w="0" w:type="dxa"/>
              <w:right w:w="0" w:type="dxa"/>
            </w:tcMar>
            <w:vAlign w:val="center"/>
          </w:tcPr>
          <w:p>
            <w:pPr>
              <w:pStyle w:val="TableContents"/>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bl>
    <w:p>
      <w:pPr>
        <w:pStyle w:val="TextBody"/>
        <w:spacing w:before="0" w:after="0"/>
        <w:rPr/>
      </w:pPr>
      <w:r>
        <w:rPr/>
      </w:r>
    </w:p>
    <w:p>
      <w:pPr>
        <w:pStyle w:val="TextBody"/>
        <w:spacing w:lineRule="auto" w:line="268" w:before="0" w:after="0"/>
        <w:rPr>
          <w:rFonts w:ascii="Roboto;sans-serif" w:hAnsi="Roboto;sans-serif"/>
          <w:b w:val="false"/>
          <w:color w:val="000000"/>
          <w:sz w:val="18"/>
        </w:rPr>
      </w:pPr>
      <w:r>
        <w:rPr>
          <w:rFonts w:ascii="Roboto;sans-serif" w:hAnsi="Roboto;sans-serif"/>
          <w:b w:val="false"/>
          <w:color w:val="000000"/>
          <w:sz w:val="18"/>
        </w:rPr>
        <w:t>*Certain schedules and exhibits have been omitted pursuant to Item 601(a)(5) of Regulation S-K. The Company will supplementally furnish copies of omitted schedules and exhibits to the SEC or its staff upon its request.</w:t>
      </w:r>
    </w:p>
    <w:p>
      <w:pPr>
        <w:pStyle w:val="TextBody"/>
        <w:spacing w:lineRule="auto" w:line="276" w:before="0" w:after="0"/>
        <w:rPr>
          <w:rFonts w:ascii="Roboto;sans-serif" w:hAnsi="Roboto;sans-serif"/>
          <w:b w:val="false"/>
          <w:color w:val="000000"/>
          <w:sz w:val="18"/>
        </w:rPr>
      </w:pPr>
      <w:r>
        <w:rPr>
          <w:rFonts w:ascii="Roboto;sans-serif" w:hAnsi="Roboto;sans-serif"/>
          <w:b w:val="false"/>
          <w:color w:val="000000"/>
          <w:sz w:val="18"/>
        </w:rPr>
        <w:t>X Filed herewith.</w:t>
      </w:r>
    </w:p>
    <w:p>
      <w:pPr>
        <w:pStyle w:val="TextBody"/>
        <w:spacing w:lineRule="auto" w:line="276" w:before="0" w:after="0"/>
        <w:rPr>
          <w:rFonts w:ascii="Roboto;sans-serif" w:hAnsi="Roboto;sans-serif"/>
          <w:b w:val="false"/>
          <w:color w:val="000000"/>
          <w:sz w:val="18"/>
        </w:rPr>
      </w:pPr>
      <w:r>
        <w:rPr>
          <w:rFonts w:ascii="Roboto;sans-serif" w:hAnsi="Roboto;sans-serif"/>
          <w:b w:val="false"/>
          <w:color w:val="000000"/>
          <w:sz w:val="18"/>
        </w:rPr>
        <w:t>XX Furnished herewith.</w:t>
      </w:r>
    </w:p>
    <w:p>
      <w:pPr>
        <w:pStyle w:val="TextBody"/>
        <w:spacing w:lineRule="auto" w:line="276" w:before="0" w:after="0"/>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46</w:t>
                      </w:r>
                    </w:p>
                  </w:txbxContent>
                </v:textbox>
              </v:rect>
            </w:pict>
          </mc:Fallback>
        </mc:AlternateContent>
      </w:r>
    </w:p>
    <w:p>
      <w:pPr>
        <w:pStyle w:val="TextBody"/>
        <w:spacing w:before="0" w:after="0"/>
        <w:rPr/>
      </w:pPr>
      <w:r>
        <w:rPr/>
      </w:r>
    </w:p>
    <w:p>
      <w:pPr>
        <w:pStyle w:val="TextBody"/>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spacing w:before="0" w:after="0"/>
        <w:rPr/>
      </w:pPr>
      <w:r>
        <w:rPr/>
      </w:r>
    </w:p>
    <w:p>
      <w:pPr>
        <w:pStyle w:val="TextBody"/>
        <w:spacing w:lineRule="auto" w:line="288" w:before="0" w:after="0"/>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5870" w:type="dxa"/>
        <w:jc w:val="left"/>
        <w:tblInd w:w="0" w:type="dxa"/>
        <w:tblCellMar>
          <w:top w:w="28" w:type="dxa"/>
          <w:left w:w="28" w:type="dxa"/>
          <w:bottom w:w="28" w:type="dxa"/>
          <w:right w:w="28" w:type="dxa"/>
        </w:tblCellMar>
      </w:tblPr>
      <w:tblGrid>
        <w:gridCol w:w="650"/>
        <w:gridCol w:w="572"/>
        <w:gridCol w:w="578"/>
        <w:gridCol w:w="467"/>
        <w:gridCol w:w="467"/>
        <w:gridCol w:w="467"/>
        <w:gridCol w:w="779"/>
        <w:gridCol w:w="779"/>
        <w:gridCol w:w="1111"/>
      </w:tblGrid>
      <w:tr>
        <w:trPr/>
        <w:tc>
          <w:tcPr>
            <w:tcW w:w="65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0"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Date: May 4, 2023</w:t>
            </w:r>
          </w:p>
        </w:tc>
        <w:tc>
          <w:tcPr>
            <w:tcW w:w="140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6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Barry McCarthy</w:t>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Barry McCarthy</w:t>
            </w:r>
          </w:p>
          <w:p>
            <w:pPr>
              <w:pStyle w:val="TableContents"/>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Chief Executive Officer</w:t>
            </w:r>
          </w:p>
          <w:p>
            <w:pPr>
              <w:pStyle w:val="TableContents"/>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ableContents"/>
              <w:spacing w:before="0" w:after="0"/>
              <w:rPr/>
            </w:pPr>
            <w:r>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Elizabeth F Coddington</w:t>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Elizabeth F Coddington</w:t>
              <w:br/>
              <w:t>Chief Financial Officer</w:t>
              <w:br/>
              <w:t>(Principal Financial Officer)</w:t>
            </w:r>
          </w:p>
        </w:tc>
      </w:tr>
    </w:tbl>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7" name="Frame47"/>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47</w:t>
                      </w:r>
                    </w:p>
                  </w:txbxContent>
                </v:textbox>
              </v:rect>
            </w:pict>
          </mc:Fallback>
        </mc:AlternateContent>
      </w: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spacing w:lineRule="auto" w:line="240" w:before="237" w:after="283"/>
        <w:jc w:val="both"/>
        <w:rPr/>
      </w:pPr>
      <w:r>
        <w:rPr>
          <w:rFonts w:ascii="Times New Roman;sans-serif" w:hAnsi="Times New Roman;sans-serif"/>
          <w:b w:val="false"/>
          <w:color w:val="000000"/>
          <w:sz w:val="24"/>
        </w:rPr>
        <w:t>SECOND AMENDMENT TO SECOND AMENDED AND RESTATED CREDIT AGREEMENT, dated as of May 2, 2023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among Peloton Interactive,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the Revolving Lenders party hereto and JPMorgan Chase Bank, N.A., as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w:t>
      </w:r>
    </w:p>
    <w:p>
      <w:pPr>
        <w:pStyle w:val="TextBody"/>
        <w:spacing w:lineRule="auto" w:line="240" w:before="234" w:after="283"/>
        <w:ind w:left="0" w:right="0" w:firstLine="1440"/>
        <w:jc w:val="both"/>
        <w:rPr/>
      </w:pPr>
      <w:r>
        <w:rPr>
          <w:rFonts w:ascii="Times New Roman;sans-serif" w:hAnsi="Times New Roman;sans-serif"/>
          <w:b w:val="false"/>
          <w:color w:val="000000"/>
          <w:sz w:val="24"/>
        </w:rPr>
        <w:t>WHEREAS, the Borrower, the several banks and other financial institutions party thereto and the Administrative Agent entered into that certain Amendment and Restatement Agreement, dated as of May 25, 2022 (the “</w:t>
      </w:r>
      <w:r>
        <w:rPr>
          <w:rFonts w:ascii="Times New Roman;sans-serif" w:hAnsi="Times New Roman;sans-serif"/>
          <w:b w:val="false"/>
          <w:color w:val="000000"/>
          <w:sz w:val="24"/>
          <w:u w:val="single"/>
        </w:rPr>
        <w:t>Amendment and Restatement Agreement</w:t>
      </w:r>
      <w:r>
        <w:rPr>
          <w:color w:val="000000"/>
        </w:rPr>
        <w:t xml:space="preserve">” </w:t>
      </w:r>
      <w:r>
        <w:rPr>
          <w:rFonts w:ascii="Times New Roman;sans-serif" w:hAnsi="Times New Roman;sans-serif"/>
          <w:b w:val="false"/>
          <w:color w:val="000000"/>
          <w:sz w:val="24"/>
        </w:rPr>
        <w:t>and the Second Amended and Restated Credit Agreement attached to the Amendment and Restatement Agreement, as amended by the First Amendment, dated as of August 24, 2022, and as further amended, supplemented or otherwise modified prior to the Second Amendment to Second Amended and Restated Credit Agreement Effective Date (as defined below),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the Existing Credit Agreement, as amended by this Amendment, the “</w:t>
      </w:r>
      <w:r>
        <w:rPr>
          <w:rFonts w:ascii="Times New Roman;sans-serif" w:hAnsi="Times New Roman;sans-serif"/>
          <w:b w:val="false"/>
          <w:color w:val="000000"/>
          <w:sz w:val="24"/>
          <w:u w:val="single"/>
        </w:rPr>
        <w:t>Amended Credit Agreement</w:t>
      </w:r>
      <w:r>
        <w:rPr>
          <w:color w:val="000000"/>
        </w:rPr>
        <w:t>”</w:t>
      </w:r>
      <w:r>
        <w:rPr>
          <w:rFonts w:ascii="Times New Roman;sans-serif" w:hAnsi="Times New Roman;sans-serif"/>
          <w:b w:val="false"/>
          <w:color w:val="000000"/>
          <w:sz w:val="24"/>
        </w:rPr>
        <w:t>; capitalized terms used but not defined in this Amendment shall have the meanings assigned to such terms in the Amended Credit Agreement);</w:t>
      </w:r>
    </w:p>
    <w:p>
      <w:pPr>
        <w:pStyle w:val="TextBody"/>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9.02 of the Existing Credit Agreement and the definition of “Required Lenders” as set forth in the Existing Credit Agreement, the Borrower, Lenders constituting the Required Revolving Lenders and the Administrative Agent may amend the Existing Credit Agreement as set forth herein; and</w:t>
      </w:r>
    </w:p>
    <w:p>
      <w:pPr>
        <w:pStyle w:val="TextBody"/>
        <w:spacing w:lineRule="auto" w:line="240" w:before="243"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in reliance on the foregoing, upon the terms and subject to the conditions set forth in this Agreement, effective as of the Second Amendment to Second Amended and Restated Credit Agreement Effective Date, the Borrower, Lenders party hereto (which Lenders as of the date hereof constitute the “Required Revolving Lenders” under and as defined in the Existing Credit Agreement) and the Administrative Agent agree to amend the Existing Credit Agreement as set forth herein.</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of the mutual covenants herein contained and for other good and valuable consideration, the receipt of which is hereby acknowledged, the parties hereto agree as follows:</w:t>
      </w:r>
    </w:p>
    <w:p>
      <w:pPr>
        <w:pStyle w:val="TextBody"/>
        <w:spacing w:lineRule="auto" w:line="240" w:before="0" w:after="240"/>
        <w:ind w:left="0" w:right="0" w:firstLine="720"/>
        <w:jc w:val="both"/>
        <w:rPr/>
      </w:pPr>
      <w:r>
        <w:rPr>
          <w:rFonts w:ascii="Times New Roman;sans-serif" w:hAnsi="Times New Roman;sans-serif"/>
          <w:b w:val="false"/>
          <w:color w:val="010000"/>
          <w:sz w:val="24"/>
        </w:rPr>
        <w:t>SECTION 1.</w:t>
      </w:r>
      <w:r>
        <w:rPr>
          <w:rFonts w:ascii="Times New Roman;sans-serif" w:hAnsi="Times New Roman;sans-serif"/>
          <w:b w:val="false"/>
          <w:color w:val="000000"/>
          <w:sz w:val="24"/>
          <w:highlight w:val="white"/>
          <w:u w:val="single"/>
        </w:rPr>
        <w:t>Amendments; Reduction of Revolving Commitments</w:t>
      </w:r>
      <w:r>
        <w:rPr>
          <w:rFonts w:ascii="Times New Roman;sans-serif" w:hAnsi="Times New Roman;sans-serif"/>
          <w:b w:val="false"/>
          <w:color w:val="000000"/>
          <w:sz w:val="24"/>
        </w:rPr>
        <w:t xml:space="preserve">. </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(a)On the Second Amendment to Second Amended and Restated Credit Agreement Effective Date, the Existing Credit Agreement is hereby amended as follows: </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definition of “2021 Consenting Commitments” in Section 1.01 of the Existing Credit Agreement is hereby amended and replaced in its entirety as follows: </w:t>
      </w:r>
    </w:p>
    <w:p>
      <w:pPr>
        <w:pStyle w:val="TextBody"/>
        <w:spacing w:lineRule="auto" w:line="240" w:before="0" w:after="120"/>
        <w:ind w:left="0" w:right="0" w:firstLine="720"/>
        <w:jc w:val="both"/>
        <w:rPr/>
      </w:pPr>
      <w:r>
        <w:rPr>
          <w:color w:val="000000"/>
        </w:rPr>
        <w:t>““</w:t>
      </w:r>
      <w:r>
        <w:rPr>
          <w:rFonts w:ascii="Times New Roman;sans-serif" w:hAnsi="Times New Roman;sans-serif"/>
          <w:b/>
          <w:color w:val="000000"/>
          <w:sz w:val="24"/>
        </w:rPr>
        <w:t>2021 Consenting Commitments</w:t>
      </w:r>
      <w:r>
        <w:rPr>
          <w:color w:val="000000"/>
        </w:rPr>
        <w:t xml:space="preserve">” </w:t>
      </w:r>
      <w:r>
        <w:rPr>
          <w:rFonts w:ascii="Times New Roman;sans-serif" w:hAnsi="Times New Roman;sans-serif"/>
          <w:b w:val="false"/>
          <w:color w:val="000000"/>
          <w:sz w:val="24"/>
        </w:rPr>
        <w:t>means the Revolving Commitments of the Consenting Lenders, as defined in the Second Amendment. The initial amount of each Lender’s 2021 Consenting Commitment as of the Second Amendment to Second Amended and Restated Credit Agreement Effective Date is set forth on Schedule 2.01. The aggregate amount of the Lenders’ 2021 Consenting Commitments as of the Second Amendment to Second Amended and Restated Credit Agreement Effective Date is $372,000,000.”</w:t>
      </w:r>
      <w:r>
        <w:rPr>
          <w:color w:val="000000"/>
        </w:rPr>
        <w:t xml:space="preserve"> </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(ii)The definition of “2021 Non-Consenting Commitments” in Section 1.01 of the Existing Credit Agreement is hereby amended and replaced in its entirety as follows: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2100"/>
                <wp:effectExtent l="0" t="0" r="0" b="0"/>
                <wp:wrapNone/>
                <wp:docPr id="48" name="Frame4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120"/>
        <w:ind w:left="0" w:right="0" w:firstLine="720"/>
        <w:jc w:val="both"/>
        <w:rPr/>
      </w:pPr>
      <w:r>
        <w:rPr>
          <w:color w:val="000000"/>
        </w:rPr>
        <w:t>““</w:t>
      </w:r>
      <w:r>
        <w:rPr>
          <w:rFonts w:ascii="Times New Roman;sans-serif" w:hAnsi="Times New Roman;sans-serif"/>
          <w:b/>
          <w:color w:val="000000"/>
          <w:sz w:val="24"/>
        </w:rPr>
        <w:t>2021 Non-Consenting Commitments</w:t>
      </w:r>
      <w:r>
        <w:rPr>
          <w:color w:val="000000"/>
        </w:rPr>
        <w:t xml:space="preserve">” </w:t>
      </w:r>
      <w:r>
        <w:rPr>
          <w:rFonts w:ascii="Times New Roman;sans-serif" w:hAnsi="Times New Roman;sans-serif"/>
          <w:b w:val="false"/>
          <w:color w:val="000000"/>
          <w:sz w:val="24"/>
        </w:rPr>
        <w:t>means the Revolving Commitments of the Lenders that are not Consenting Lenders, as defined in the Second Amendment. The initial amount of each Lender’s 2021 Non-Consenting Commitment as of the Second Amendment to Second Amended and Restated Credit Agreement Effective Date is set forth on Schedule 2.01. The aggregate amount of the Lenders’ 2021 Non-Consenting Commitments as of the Second Amendment to Second Amended and Restated Credit Agreement Effective Date is $28,000,000.”</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(iii)The definition of “Required Lenders” in Section 1.01 of the Existing Credit Agreement is hereby amended and replaced in its entirety as follows: </w:t>
      </w:r>
    </w:p>
    <w:p>
      <w:pPr>
        <w:pStyle w:val="TextBody"/>
        <w:spacing w:lineRule="auto" w:line="240" w:before="240" w:after="240"/>
        <w:ind w:left="0" w:right="0" w:firstLine="720"/>
        <w:jc w:val="both"/>
        <w:rPr/>
      </w:pPr>
      <w:r>
        <w:rPr>
          <w:color w:val="000000"/>
        </w:rPr>
        <w:t>““</w:t>
      </w:r>
      <w:r>
        <w:rPr>
          <w:rFonts w:ascii="Times New Roman;sans-serif" w:hAnsi="Times New Roman;sans-serif"/>
          <w:b/>
          <w:color w:val="000000"/>
          <w:sz w:val="24"/>
        </w:rPr>
        <w:t>Required Lenders</w:t>
      </w:r>
      <w:r>
        <w:rPr>
          <w:color w:val="000000"/>
        </w:rPr>
        <w:t xml:space="preserve">” </w:t>
      </w:r>
      <w:r>
        <w:rPr>
          <w:rFonts w:ascii="Times New Roman;sans-serif" w:hAnsi="Times New Roman;sans-serif"/>
          <w:b w:val="false"/>
          <w:color w:val="000000"/>
          <w:sz w:val="24"/>
        </w:rPr>
        <w:t>means, at any time:</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with respect to (i) any amendment or other modification of Section 6.10 (or for the purposes of determining compliance with Section 6.10, any defined terms used therein), (ii) any waiver or consent to any Default or Event of Default resulting from a breach of Section 6.10, (iii) any alteration of the rights or remedies of the Required Revolving Lenders arising pursuant to Article 7 as a result of a breach of Section 6.10, (iv) any waiver of any condition precedent set forth in Section 4.02 with respect to any extension of credit involving a Revolving Credit Facility or (v) any amendment or other modification to (a) the definition of “Total Revolving Credit Utilization Cap” or (b) the calculation and implementation thereof under this Agreement, means the Required Revolving Lenders only; </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to the extent clause (1) is not applicable, means (i) both the Required Revolving Lenders and Lenders having Revolving Credit Exposures, Term Loans and unused Commitments representing more than 50% of the sum of the total Revolving Credit Exposures, outstanding Term Loans and unused Commitments of all Lenders at such time, or (ii) at any time after the Commitments of all Lenders shall have been terminated, both clause (b) of Required Revolving Lenders and Lenders holding more than 50% of the total Revolving Credit Exposures and Term Loans at such time; </w:t>
      </w:r>
    </w:p>
    <w:p>
      <w:pPr>
        <w:pStyle w:val="TextBody"/>
        <w:spacing w:lineRule="auto" w:line="240" w:before="240" w:after="240"/>
        <w:jc w:val="both"/>
        <w:rPr/>
      </w:pP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for purposes of this definition of “Required Lenders”, a Lender and its Affiliates shall be deemed to be one Lender. The Revolving Credit Exposure, Term Loan and Commitment of any Defaulting Lender shall be disregarded in determining Required Lenders at any time.”</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(iv)Section 1.01 of the Existing Credit Agreement is hereby amended to include the following definitions in appropriate alphabetical order: </w:t>
      </w:r>
    </w:p>
    <w:p>
      <w:pPr>
        <w:pStyle w:val="TextBody"/>
        <w:spacing w:lineRule="auto" w:line="240" w:before="0" w:after="120"/>
        <w:ind w:left="0" w:right="0" w:firstLine="720"/>
        <w:jc w:val="both"/>
        <w:rPr/>
      </w:pPr>
      <w:r>
        <w:rPr>
          <w:color w:val="000000"/>
        </w:rPr>
        <w:t>“</w:t>
      </w:r>
      <w:r>
        <w:rPr>
          <w:rFonts w:ascii="Times New Roman;sans-serif" w:hAnsi="Times New Roman;sans-serif"/>
          <w:b/>
          <w:color w:val="000000"/>
          <w:sz w:val="24"/>
        </w:rPr>
        <w:t>Second Amendment to Second Amended and Restated Credit Agreement</w:t>
      </w:r>
      <w:r>
        <w:rPr>
          <w:color w:val="000000"/>
        </w:rPr>
        <w:t xml:space="preserve">” </w:t>
      </w:r>
      <w:r>
        <w:rPr>
          <w:rFonts w:ascii="Times New Roman;sans-serif" w:hAnsi="Times New Roman;sans-serif"/>
          <w:b w:val="false"/>
          <w:color w:val="000000"/>
          <w:sz w:val="24"/>
        </w:rPr>
        <w:t xml:space="preserve">means the Second Amendment to Second Amended and Restated Credit Agreement, dated as of May 2, 2023. </w:t>
      </w:r>
    </w:p>
    <w:p>
      <w:pPr>
        <w:pStyle w:val="TextBody"/>
        <w:spacing w:lineRule="auto" w:line="240" w:before="0" w:after="120"/>
        <w:ind w:left="0" w:right="0" w:firstLine="720"/>
        <w:jc w:val="both"/>
        <w:rPr/>
      </w:pPr>
      <w:r>
        <w:rPr>
          <w:color w:val="000000"/>
        </w:rPr>
        <w:t>“</w:t>
      </w:r>
      <w:r>
        <w:rPr>
          <w:rFonts w:ascii="Times New Roman;sans-serif" w:hAnsi="Times New Roman;sans-serif"/>
          <w:b/>
          <w:color w:val="000000"/>
          <w:sz w:val="24"/>
        </w:rPr>
        <w:t>Second Amendment to Second Amended and Restated Credit Agreement Effective Date</w:t>
      </w:r>
      <w:r>
        <w:rPr>
          <w:color w:val="000000"/>
        </w:rPr>
        <w:t xml:space="preserve">” </w:t>
      </w:r>
      <w:r>
        <w:rPr>
          <w:rFonts w:ascii="Times New Roman;sans-serif" w:hAnsi="Times New Roman;sans-serif"/>
          <w:b w:val="false"/>
          <w:color w:val="000000"/>
          <w:sz w:val="24"/>
        </w:rPr>
        <w:t xml:space="preserve">has the meaning given to such term in the Second Amendment to Second Amended and Restated Credit Agreement. </w:t>
      </w:r>
    </w:p>
    <w:p>
      <w:pPr>
        <w:pStyle w:val="TextBody"/>
        <w:spacing w:lineRule="auto" w:line="240" w:before="0" w:after="120"/>
        <w:ind w:left="0" w:right="0" w:firstLine="720"/>
        <w:jc w:val="both"/>
        <w:rPr/>
      </w:pPr>
      <w:r>
        <w:rPr>
          <w:color w:val="000000"/>
        </w:rPr>
        <w:t>“</w:t>
      </w:r>
      <w:r>
        <w:rPr>
          <w:rFonts w:ascii="Times New Roman;sans-serif" w:hAnsi="Times New Roman;sans-serif"/>
          <w:b/>
          <w:color w:val="000000"/>
          <w:sz w:val="24"/>
        </w:rPr>
        <w:t>Total Revolving Credit Utilization Cap</w:t>
      </w:r>
      <w:r>
        <w:rPr>
          <w:color w:val="000000"/>
        </w:rPr>
        <w:t xml:space="preserve">” </w:t>
      </w:r>
      <w:r>
        <w:rPr>
          <w:rFonts w:ascii="Times New Roman;sans-serif" w:hAnsi="Times New Roman;sans-serif"/>
          <w:b w:val="false"/>
          <w:color w:val="000000"/>
          <w:sz w:val="24"/>
        </w:rPr>
        <w:t xml:space="preserve">means, at any date of determination, the lesser of (a) the sum of all Revolving Commitments of all Revolving Lenders in effect as of such date and (b) an amount equal to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2100"/>
                <wp:effectExtent l="0" t="0" r="0" b="0"/>
                <wp:wrapNone/>
                <wp:docPr id="49" name="Frame4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120"/>
        <w:jc w:val="both"/>
        <w:rPr/>
      </w:pPr>
      <w:r>
        <w:rPr>
          <w:rFonts w:ascii="Times New Roman;sans-serif" w:hAnsi="Times New Roman;sans-serif"/>
          <w:b w:val="false"/>
          <w:color w:val="000000"/>
          <w:sz w:val="24"/>
        </w:rPr>
        <w:t>the “Subscription” revenue of the Borrower and its Subsidiaries, determined on a consolidated basis in accordance with GAAP, for the most recently completed fiscal quarter of the Borrower ended prior to such date, as shown on the most recent income statement of the Borrower delivered pursuant to Section 5.01(a) or (b) (each date on which such income statement is delivered, a “</w:t>
      </w:r>
      <w:r>
        <w:rPr>
          <w:rFonts w:ascii="Times New Roman;sans-serif" w:hAnsi="Times New Roman;sans-serif"/>
          <w:b/>
          <w:color w:val="000000"/>
          <w:sz w:val="24"/>
        </w:rPr>
        <w:t>Total Revolving Credit Utilization Cap Measurement Date</w:t>
      </w:r>
      <w:r>
        <w:rPr>
          <w:color w:val="000000"/>
        </w:rPr>
        <w:t>”</w:t>
      </w:r>
      <w:r>
        <w:rPr>
          <w:rFonts w:ascii="Times New Roman;sans-serif" w:hAnsi="Times New Roman;sans-serif"/>
          <w:b w:val="false"/>
          <w:color w:val="000000"/>
          <w:sz w:val="24"/>
        </w:rPr>
        <w:t xml:space="preserve">). For the avoidance of doubt, the Total Revolving Credit Utilization Cap shall only be adjusted upward or downward on each Total Revolving Credit Utilization Cap Measurement Date. </w:t>
      </w:r>
    </w:p>
    <w:p>
      <w:pPr>
        <w:pStyle w:val="TextBody"/>
        <w:spacing w:lineRule="auto" w:line="240" w:before="0" w:after="120"/>
        <w:ind w:left="0" w:right="0" w:firstLine="720"/>
        <w:jc w:val="both"/>
        <w:rPr/>
      </w:pPr>
      <w:r>
        <w:rPr>
          <w:color w:val="000000"/>
        </w:rPr>
        <w:t>“</w:t>
      </w:r>
      <w:r>
        <w:rPr>
          <w:rFonts w:ascii="Times New Roman;sans-serif" w:hAnsi="Times New Roman;sans-serif"/>
          <w:b/>
          <w:color w:val="000000"/>
          <w:sz w:val="24"/>
        </w:rPr>
        <w:t>Total Revolving Credit Utilization Cap Measurement Date</w:t>
      </w:r>
      <w:r>
        <w:rPr>
          <w:color w:val="000000"/>
        </w:rPr>
        <w:t xml:space="preserve">” </w:t>
      </w:r>
      <w:r>
        <w:rPr>
          <w:rFonts w:ascii="Times New Roman;sans-serif" w:hAnsi="Times New Roman;sans-serif"/>
          <w:b w:val="false"/>
          <w:color w:val="000000"/>
          <w:sz w:val="24"/>
        </w:rPr>
        <w:t xml:space="preserve">has the meaning specified in the definition of “Total Revolving Credit Utilization Cap”. </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(v)The first paragraph of Section 2.01 of the Existing Credit Agreement is hereby amended and replaced in its entirety as follows: </w:t>
      </w:r>
    </w:p>
    <w:p>
      <w:pPr>
        <w:pStyle w:val="TextBody"/>
        <w:spacing w:lineRule="auto" w:line="240" w:before="0" w:after="120"/>
        <w:ind w:left="0" w:right="0" w:firstLine="720"/>
        <w:jc w:val="both"/>
        <w:rPr>
          <w:color w:val="000000"/>
        </w:rPr>
      </w:pPr>
      <w:r>
        <w:rPr>
          <w:color w:val="000000"/>
        </w:rPr>
        <w:t>“</w:t>
      </w:r>
      <w:r>
        <w:rPr>
          <w:rFonts w:ascii="Times New Roman;sans-serif" w:hAnsi="Times New Roman;sans-serif"/>
          <w:b w:val="false"/>
          <w:color w:val="000000"/>
          <w:sz w:val="24"/>
        </w:rPr>
        <w:t>Subject to the terms and conditions set forth herein, (a) each Revolving Lender severally agrees to make Revolving Loans in Dollars and, after any Alternative Currency Effective Date, each applicable Alternative Currency, to the Borrower from time to time during the applicable Availability Period in an aggregate principal amount that will not result in (i) the Dollar Equivalent of such Revolving Lender’s Revolving Credit Exposure exceeding such Revolving Lender’s Revolving Commitment or (ii) the sum of the Dollar Equivalents of the total Revolving Credit Exposures of all Revolving Lenders exceeding the total Revolving Commitments of all Revolving Lenders or (iii) the sum of the Dollar Equivalents of the total Revolving Credit Exposures of all Revolving Lenders exceeding the Total Revolving Credit Utilization Cap as in effect on the most recent Total Revolving Credit Utilization Cap Measurement Date and (b) each Initial Term Lender severally agrees to make to the Borrower Initial Term Loans in an amount equal to such Initial Term Lender’s Initial Term Commitment on the Second Restatement Effective Date. Within the foregoing limits and subject to the terms and conditions set forth herein, the Borrower may borrow, prepay and reborrow Revolving Loans. Amounts repaid or prepaid in respect of Term Loans may not be reborrowed (it being understood, however, that prepayments will be taken into account for purposes of any Prepayment-Based Incremental Facility to the extent provided by Section 2.18).”</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(vi)Section 2.08(c) of the Existing Credit Agreement is hereby amended and replaced in its entirety as follows:</w:t>
      </w:r>
    </w:p>
    <w:p>
      <w:pPr>
        <w:pStyle w:val="TextBody"/>
        <w:spacing w:lineRule="auto" w:line="240" w:before="0" w:after="120"/>
        <w:jc w:val="both"/>
        <w:rPr>
          <w:color w:val="000000"/>
        </w:rPr>
      </w:pPr>
      <w:r>
        <w:rPr>
          <w:color w:val="000000"/>
        </w:rPr>
        <w:t>“</w:t>
      </w:r>
      <w:r>
        <w:rPr>
          <w:rFonts w:ascii="Times New Roman;sans-serif" w:hAnsi="Times New Roman;sans-serif"/>
          <w:b w:val="false"/>
          <w:color w:val="000000"/>
          <w:sz w:val="24"/>
        </w:rPr>
        <w:t xml:space="preserve">(c) The Borrower shall (i) from time to time prepay the Revolving Loans to the extent necessary so that the aggregate principal amount of all outstanding Revolving Loans shall not at any time exceed the Revolving Commitments of such Class then in effect and (ii) on or prior to the date that is five (5) Business Days after each Total Revolving Credit Utilization Cap Measurement Date, prepay the Revolving Loans to the extent necessary so that the aggregate Revolving Credit Exposure of all Revolving Lenders shall not exceed the aggregate Total Revolving Credit Utilization Cap as in effect on the most recent Total Revolving Credit Utilization Cap Measurement Date.” </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(vii)Section 2.08(d) of the Existing Credit Agreement is hereby amended and replaced in its entirety as follows:</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2100"/>
                <wp:effectExtent l="0" t="0" r="0" b="0"/>
                <wp:wrapNone/>
                <wp:docPr id="50" name="Frame5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jc w:val="both"/>
        <w:rPr>
          <w:color w:val="000000"/>
        </w:rPr>
      </w:pPr>
      <w:r>
        <w:rPr>
          <w:color w:val="000000"/>
        </w:rPr>
        <w:t>“</w:t>
      </w:r>
      <w:r>
        <w:rPr>
          <w:rFonts w:ascii="Times New Roman;sans-serif" w:hAnsi="Times New Roman;sans-serif"/>
          <w:b w:val="false"/>
          <w:color w:val="000000"/>
          <w:sz w:val="24"/>
        </w:rPr>
        <w:t>If (i) other than as a result of fluctuations in currency exchange rates, (A) the Dollar Equivalent of the relevant Lenders’ aggregate Revolving Credit Exposures in respect of any Class (calculated, with respect to any LC Exposure denominated in an Alternative Currency, as of the most recent Revaluation Date with respect to such LC Exposure) exceeds the aggregate Revolving Commitments of such Class then in effect or (B) the Dollar Equivalent of all Lenders’ aggregate Revolving Credit Exposures (calculated, with respect to any LC Exposure denominated in an Alternative Currency, as of the most recent Revaluation Date with respect to such LC Exposure) exceeds the Total Revolving Credit Utilization Cap as in effect on the most recent Total Revolving Credit Utilization Cap Measurement Date, or (ii) solely as a result of fluctuations in currency exchange rates, (A) the Dollar Equivalent of the relevant Lenders’ aggregate Revolving Credit Exposures in respect of any Class (so calculated), as of the most recent Revaluation Date, exceeds one hundred ten percent (110%) of the aggregate Revolving Commitments of such Class then in effect or (B) the Dollar Equivalent of the Lenders’ aggregate Revolving Credit Exposures as of the most recent Revaluation Date, exceeds one hundred ten percent (110%) of the Total Revolving Credit Utilization Cap as in effect on the most recent Total Revolving Credit Utilization Cap Measurement Date, the Borrower shall immediately (or, if the Revolving Credit Exposures exceed the Total Revolving Credit Utilization Cap then in effect as set forth in clause (i)(B) above, on or prior to the date that is five (5) Business Days after the applicable Total Revolving Credit Utilization Cap Measurement Date) repay Borrowings and/or cash collateralize LC Exposure in accordance with the procedures set forth in Section 2.17(d) in an aggregate principal amount sufficient to cause the Dollar Equivalent of the relevant Lenders' aggregate Revolving Credit Exposures in respect of such Class (so calculated) or the Dollar Equivalent of all Lenders’ aggregate Revolving Credit Exposures, as applicable, to be less than or equal to the aggregate Revolving Commitments of such Class then in effect or the Total Revolving Credit Utilization Cap then in effect, as applicable.”</w:t>
      </w:r>
    </w:p>
    <w:p>
      <w:pPr>
        <w:pStyle w:val="TextBody"/>
        <w:spacing w:before="0" w:after="0"/>
        <w:jc w:val="both"/>
        <w:rPr/>
      </w:pPr>
      <w:r>
        <w:rPr/>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(viii)The last sentence of Section 2.19(a) of the Existing Credit Agreement is hereby amended and replaced in its entirety as follows:</w:t>
      </w:r>
    </w:p>
    <w:p>
      <w:pPr>
        <w:pStyle w:val="TextBody"/>
        <w:spacing w:lineRule="auto" w:line="240" w:before="0" w:after="120"/>
        <w:jc w:val="both"/>
        <w:rPr>
          <w:color w:val="000000"/>
        </w:rPr>
      </w:pPr>
      <w:r>
        <w:rPr>
          <w:color w:val="000000"/>
        </w:rPr>
        <w:t>“</w:t>
      </w:r>
      <w:r>
        <w:rPr>
          <w:rFonts w:ascii="Times New Roman;sans-serif" w:hAnsi="Times New Roman;sans-serif"/>
          <w:b w:val="false"/>
          <w:color w:val="000000"/>
          <w:sz w:val="24"/>
        </w:rPr>
        <w:t xml:space="preserve">Notwithstanding anything herein to the contrary, (i) the Borrower shall not request, and no Issuing Bank shall issue, any Letter of Credit the proceeds of which would be made to any Person (A) to fund any activity or business of or with any Sanctioned Person, or in any country, region or territory, that at the time of such funding is a Sanctioned Country or (B) in any manner that would result in a violation of any Sanctions by any party to this Agreement, (ii) no Issuing Bank shall have any obligation hereunder to issue any Letter of Credit if the issuance of such Letter of Credit would violate one or more policies of such Issuing Bank now or hereafter in effect applicable to letters of credit generally, (iii) the Borrower shall not request, and no Issuing Bank shall issue, any Letter of Credit if (A) the Dollar Equivalent of the aggregate outstanding amount of Letters of Credit issued by such Issuing Bank would exceed such amount as has been agreed by such Issuing Bank in its sole discretion (or $100,000,000, in the case of JPMorgan Chase Bank, N.A. in its capacity as an Issuing Bank) or (B) after giving effect to such issuance of a Letter of Credit, (1) the Dollar Equivalent of any Lender’s Revolving Credit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2100"/>
                <wp:effectExtent l="0" t="0" r="0" b="0"/>
                <wp:wrapNone/>
                <wp:docPr id="51" name="Frame5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Exposure would exceed such Lender’s Revolving Commitment, (2) the sum of the Dollar Equivalents of the total Revolving Credit Exposures of all Lenders would exceed the total Revolving Commitments of all Lenders or (3) the sum of the Dollar Equivalents of the total Revolving Credit Exposures of all Lenders would exceed the Total Revolving Credit Utilization Cap then in effect and (iv) in no event shall Goldman Sachs Lending Partners LLC be required to issue any Letters of Credit denominated in New Taiwan Dollars.”</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(ix)Section 6.10 of the Existing Credit Agreement is hereby amended and replaced in its entirety as follows: </w:t>
      </w:r>
    </w:p>
    <w:p>
      <w:pPr>
        <w:pStyle w:val="TextBody"/>
        <w:spacing w:lineRule="auto" w:line="240" w:before="0" w:after="240"/>
        <w:ind w:left="0" w:right="0" w:firstLine="720"/>
        <w:jc w:val="both"/>
        <w:rPr>
          <w:color w:val="000000"/>
        </w:rPr>
      </w:pPr>
      <w:r>
        <w:rPr>
          <w:color w:val="000000"/>
        </w:rPr>
        <w:t>“</w:t>
      </w:r>
      <w:r>
        <w:rPr>
          <w:rFonts w:ascii="Times New Roman;sans-serif" w:hAnsi="Times New Roman;sans-serif"/>
          <w:b w:val="false"/>
          <w:color w:val="000000"/>
          <w:sz w:val="24"/>
        </w:rPr>
        <w:t>Solely for the benefit of the Revolving Facility,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(i)Prior to the Conversion Date, the Borrower will not, and will not permit any of its Subsidiaries to, permit Total Liquidity, at any time when any Revolving Loan is borrowed or outstanding, to be less than $250,000,000.</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(ii)Notwithstanding anything to the contrary herein or in any other Loan Document, on and after the Conversion Date, the covenant set forth in the foregoing clause (a)(i) shall cease to be in effect for any purpose of the Loan Documents.</w:t>
      </w:r>
    </w:p>
    <w:p>
      <w:pPr>
        <w:pStyle w:val="TextBody"/>
        <w:spacing w:lineRule="auto" w:line="240" w:before="0" w:after="24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(b) With respect to each Measurement Period ending on or after the Conversion Date, the Borrower will not permit the Senior Secured Net Leverage Ratio as of the last day of such Measurement Period to be greater than 3.00 to 1.00.”</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(b)Pursuant to Section 2.06 of the Existing Credit Agreement, the Borrower hereby notifies the Administrative Agent that, effective on the Second Amendment to Second Amended and Restated Credit Agreement Effective Date, the 2021 Consenting Commitments and the 2021 Non-Consenting Commitments each shall be reduced to the amounts set forth in Annex A to this Amendment, and the Borrower and the Required Revolving Lenders hereby agree that any notice period set forth in the Credit Agreement with respect to reductions to the Revolving Commitments of any Class shall not apply to the reductions set forth in this Section 1(b). On the Second Amendment to Second Amended and Restated Credit Agreement Effective Date, the tables set forth directly under “2021 Consenting Commitments” and “2021 Non-Consenting Commitments” in Schedule 2.01 to the Existing Credit Agreement are hereby amended and restated in their entirety as set forth in Annex A to this Amendment. </w: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10000"/>
          <w:sz w:val="24"/>
        </w:rPr>
        <w:t>SECTION 2.</w:t>
      </w:r>
      <w:r>
        <w:rPr>
          <w:rFonts w:ascii="Times New Roman;sans-serif" w:hAnsi="Times New Roman;sans-serif"/>
          <w:b w:val="false"/>
          <w:color w:val="000000"/>
          <w:sz w:val="24"/>
          <w:highlight w:val="white"/>
          <w:u w:val="single"/>
        </w:rPr>
        <w:t>Conditions Precedent to Effectiveness</w:t>
      </w:r>
      <w:r>
        <w:rPr>
          <w:rFonts w:ascii="Times New Roman;sans-serif" w:hAnsi="Times New Roman;sans-serif"/>
          <w:b w:val="false"/>
          <w:color w:val="000000"/>
          <w:sz w:val="24"/>
        </w:rPr>
        <w:t>. This Agreement shall become effective on the first date (the “</w:t>
      </w:r>
      <w:r>
        <w:rPr>
          <w:rFonts w:ascii="Times New Roman;sans-serif" w:hAnsi="Times New Roman;sans-serif"/>
          <w:b w:val="false"/>
          <w:color w:val="000000"/>
          <w:sz w:val="24"/>
          <w:u w:val="single"/>
        </w:rPr>
        <w:t>Second Amendment to Second Amended and Restated Credit Agreement Effective Date</w:t>
      </w:r>
      <w:r>
        <w:rPr>
          <w:color w:val="000000"/>
        </w:rPr>
        <w:t>”</w:t>
      </w:r>
      <w:r>
        <w:rPr>
          <w:rFonts w:ascii="Times New Roman;sans-serif" w:hAnsi="Times New Roman;sans-serif"/>
          <w:b w:val="false"/>
          <w:color w:val="000000"/>
          <w:sz w:val="24"/>
        </w:rPr>
        <w:t>) on which all the following conditions are satisfied:</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Administrative Agent (or its counsel) shall have received from each party hereto, including Lenders constituting the “Required Revolving Lenders” under and as defined in the Existing Credit Agreement, a counterpart of this Amendment signed on behalf of such party.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2100"/>
                <wp:effectExtent l="0" t="0" r="0" b="0"/>
                <wp:wrapNone/>
                <wp:docPr id="52" name="Frame5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Administrative Agent shall have received a reaffirmation agreement in respect of the Security Agreement, executed and delivered by each Loan Party and in form and substance reasonably acceptable to the Administrative Agent.</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(c)Both prior to and after giving effect to this Amendment, no Default or Event of Default shall have occurred and be continuing on the Second Amendment to Second Amended and Restated Credit Agreement Effective Date. </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(d)As of the Second Amendment to Second Amended and Restated Credit Agreement Effective Date (both prior to and after giving effect to this Amendment) all representations and warranties contained in Section 3 of this Amendment and in Article 3 of the Existing Credit Agreement shall be true and correct in all material respects, except that (i) for purposes of this clause (d), the representations and warranties contained in Section 3.04(a) of the Existing Credit Agreement shall be deemed to refer to the most recent statements furnished pursuant to clauses (a) and (b) (subject, in the case of unaudited financial statements furnished pursuant to clause (b), to year-end audit adjustments and the absence of footnotes), respectively, of Section 5.01 of the Existing Credit Agreement,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Lenders party hereto and the Administrative Agent shall have received on or before the Second Amendment to Second Amended and Restated Credit Agreement Effective Date payment of all expenses required to be reimbursed by the Borrower for which invoices have been presented at least two (2) Business Days prior to the Second Amendment to Second Amended and Restated Credit Agreement Effective Date.</w:t>
      </w:r>
    </w:p>
    <w:p>
      <w:pPr>
        <w:pStyle w:val="TextBody"/>
        <w:spacing w:lineRule="auto" w:line="240" w:before="0" w:after="240"/>
        <w:ind w:left="0" w:right="0" w:firstLine="720"/>
        <w:jc w:val="both"/>
        <w:rPr/>
      </w:pPr>
      <w:r>
        <w:rPr>
          <w:rFonts w:ascii="Times New Roman;sans-serif" w:hAnsi="Times New Roman;sans-serif"/>
          <w:b w:val="false"/>
          <w:color w:val="010000"/>
          <w:sz w:val="24"/>
        </w:rPr>
        <w:t>SECTION 3.</w:t>
      </w:r>
      <w:r>
        <w:rPr>
          <w:rFonts w:ascii="Times New Roman;sans-serif" w:hAnsi="Times New Roman;sans-serif"/>
          <w:b w:val="false"/>
          <w:color w:val="000000"/>
          <w:sz w:val="24"/>
          <w:highlight w:val="white"/>
          <w:u w:val="single"/>
        </w:rPr>
        <w:t>Representations and Warranties</w:t>
      </w:r>
      <w:r>
        <w:rPr>
          <w:rFonts w:ascii="Times New Roman;sans-serif" w:hAnsi="Times New Roman;sans-serif"/>
          <w:b w:val="false"/>
          <w:color w:val="000000"/>
          <w:sz w:val="24"/>
        </w:rPr>
        <w:t>. In order to induce the Lenders party hereto to enter into this Amendment, the Borrower hereby represents and warrants to the Lenders that (a) this Amendment has been duly authorized by all necessary organizational actions and, if required, actions by equity holders of the Borrower and (b) this Amendment has been duly executed and delivered by the Borrower and constitutes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lineRule="auto" w:line="240" w:before="0" w:after="240"/>
        <w:ind w:left="0" w:right="0" w:firstLine="720"/>
        <w:jc w:val="both"/>
        <w:rPr/>
      </w:pPr>
      <w:r>
        <w:rPr>
          <w:rFonts w:ascii="Times New Roman;sans-serif" w:hAnsi="Times New Roman;sans-serif"/>
          <w:b w:val="false"/>
          <w:color w:val="010000"/>
          <w:sz w:val="24"/>
        </w:rPr>
        <w:t>SECTION 4.</w:t>
      </w:r>
      <w:r>
        <w:rPr>
          <w:rFonts w:ascii="Times New Roman;sans-serif" w:hAnsi="Times New Roman;sans-serif"/>
          <w:b w:val="false"/>
          <w:color w:val="000000"/>
          <w:sz w:val="24"/>
          <w:highlight w:val="white"/>
          <w:u w:val="single"/>
        </w:rPr>
        <w:t>Continuing Effect; No Novation</w:t>
      </w:r>
      <w:r>
        <w:rPr>
          <w:rFonts w:ascii="Times New Roman;sans-serif" w:hAnsi="Times New Roman;sans-serif"/>
          <w:b w:val="false"/>
          <w:color w:val="000000"/>
          <w:sz w:val="24"/>
          <w:highlight w:val="white"/>
        </w:rPr>
        <w:t xml:space="preserve">. Except as expressly amended, waived or modified hereby, the Loan Documents shall continue to be and shall remain in full force and effect in accordance with their respective terms. This Amendment shall not constitute an amendment, waiver or modification of any provision of any Loan Document not expressly referred to herein and shall not be construed as an amendment, waiver or modification of any action on the part of the Borrower or the other Loan Parties that would require an amendment, waiver or consent of the Administrative Agent or the Lenders except as expressly stated herein, or be construed to indicate the willingness of the Administrative Agent or any Lender to further amend, waive or modify any provision of any Loan Document amended, waived or modified hereby for any other period, circumstance or event. Except as expressly modified by this Amendment, the Loan Documents are ratified and confirmed and are, and shall continue to be, in full force and effect in accordance with their respective terms. Except as expressly set forth herein, each Lender and the Administrative Agent reserves all of its rights, remedies, powers and privileges under the Existing Credit Agreement, the other Loan Documents, applicable law and/or equity. Any reference to the “Credit Agreement” in any Loan Document or any related documents shall be deemed to be a reference to the Existing Credit Agreement as amended and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2100"/>
                <wp:effectExtent l="0" t="0" r="0" b="0"/>
                <wp:wrapNone/>
                <wp:docPr id="53" name="Frame5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restated by this Amendment and the term “Loan Documents” in the Amended Credit Agreement and the other Loan Documents shall include this Amendment. Neither this Amendment nor the execution, delivery or effectiveness of this Amendment shall extinguish the obligations outstanding under the Existing Credit Agreement. Nothing herein contained shall be construed as a substitution or novation of the obligations outstanding under the Existing Credit Agreement, which shall remain in full force and effect, except to any extent modified hereby or by instruments executed concurrently herewith. Nothing implied in this Amendment, the Amended Credit Agreement, the Security Documents, the other Loan Documents or in any other document contemplated hereby or thereby shall be construed as a release or other discharge of any of Borrower or any other Loan Party from any of its obligations and liabilities as a “Borrower,” “Guarantor,” or “Loan Party,” under the Existing Credit Agreement or any other Loan Document. Each of the Existing Credit Agreement, the Security Documents and the other Loan Documents shall remain in full force and effect, until (as applicable) and except to any extent modified hereby or in connection herewith.</w:t>
      </w:r>
    </w:p>
    <w:p>
      <w:pPr>
        <w:pStyle w:val="TextBody"/>
        <w:spacing w:lineRule="auto" w:line="240" w:before="0" w:after="240"/>
        <w:ind w:left="0" w:right="0" w:firstLine="1440"/>
        <w:jc w:val="both"/>
        <w:rPr/>
      </w:pPr>
      <w:r>
        <w:rPr>
          <w:rFonts w:ascii="Times New Roman;sans-serif" w:hAnsi="Times New Roman;sans-serif"/>
          <w:b w:val="false"/>
          <w:color w:val="010000"/>
          <w:sz w:val="24"/>
        </w:rPr>
        <w:t>SECTION 5.</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highlight w:val="white"/>
        </w:rPr>
        <w:t>. THIS AMENDMENT SHALL BE CONSTRUED IN ACCORDANCE WITH THE LAWS OF THE STATE OF NEW YORK.</w:t>
      </w:r>
    </w:p>
    <w:p>
      <w:pPr>
        <w:pStyle w:val="TextBody"/>
        <w:spacing w:lineRule="auto" w:line="240" w:before="0" w:after="240"/>
        <w:ind w:left="0" w:right="0" w:firstLine="1440"/>
        <w:jc w:val="both"/>
        <w:rPr/>
      </w:pPr>
      <w:r>
        <w:rPr>
          <w:rFonts w:ascii="Times New Roman;sans-serif" w:hAnsi="Times New Roman;sans-serif"/>
          <w:b w:val="false"/>
          <w:color w:val="010000"/>
          <w:sz w:val="24"/>
        </w:rPr>
        <w:t>SECTION 6.</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highlight w:val="white"/>
        </w:rPr>
        <w:t xml:space="preserve">. This Amendment, the Amended Credit Agreement and the other Loan Documents represent the entire agreement of the Loan Parties, the Administrative Agent, the Agents and the Lenders with respect to the subject matter hereof and thereof, and there are no promises, undertakings, representations or warranties by the Administrative Agent, any other Agent or any Lender relative to the subject matter hereof not expressly set forth or referred to herein or in the Amended Credit Agreement or the other Loan Documents. </w:t>
      </w:r>
    </w:p>
    <w:p>
      <w:pPr>
        <w:pStyle w:val="TextBody"/>
        <w:spacing w:lineRule="auto" w:line="240" w:before="0" w:after="240"/>
        <w:ind w:left="0" w:right="0" w:firstLine="1440"/>
        <w:jc w:val="both"/>
        <w:rPr/>
      </w:pPr>
      <w:r>
        <w:rPr>
          <w:rFonts w:ascii="Times New Roman;sans-serif" w:hAnsi="Times New Roman;sans-serif"/>
          <w:b w:val="false"/>
          <w:color w:val="010000"/>
          <w:sz w:val="24"/>
        </w:rPr>
        <w:t>SECTION 7.</w:t>
      </w:r>
      <w:r>
        <w:rPr>
          <w:rFonts w:ascii="Times New Roman;sans-serif" w:hAnsi="Times New Roman;sans-serif"/>
          <w:b w:val="false"/>
          <w:color w:val="000000"/>
          <w:sz w:val="24"/>
          <w:u w:val="single"/>
        </w:rPr>
        <w:t>Loan Document</w:t>
      </w:r>
      <w:r>
        <w:rPr>
          <w:rFonts w:ascii="Times New Roman;sans-serif" w:hAnsi="Times New Roman;sans-serif"/>
          <w:b w:val="false"/>
          <w:color w:val="000000"/>
          <w:sz w:val="24"/>
          <w:highlight w:val="white"/>
        </w:rPr>
        <w:t>. This Amendment is a Loan Document and shall (unless otherwise expressly indicated herein) be construed, administered and applied in accordance with the terms and provisions of the Amended Credit Agreement. For the avoidance of doubt, the provisions of Sections 9.03 and 9.14 of the Existing Credit Agreement are incorporated herein, mutatis mutandis, as if such provisions were set forth herein in their entirety, and such provisions shall apply to this Amendment.</w:t>
      </w:r>
    </w:p>
    <w:p>
      <w:pPr>
        <w:pStyle w:val="TextBody"/>
        <w:spacing w:lineRule="auto" w:line="240" w:before="0" w:after="240"/>
        <w:ind w:left="0" w:right="0" w:firstLine="1440"/>
        <w:jc w:val="both"/>
        <w:rPr/>
      </w:pPr>
      <w:r>
        <w:rPr>
          <w:rFonts w:ascii="Times New Roman;sans-serif" w:hAnsi="Times New Roman;sans-serif"/>
          <w:b w:val="false"/>
          <w:color w:val="010000"/>
          <w:sz w:val="24"/>
        </w:rPr>
        <w:t>SECTION 8.</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highlight w:val="white"/>
        </w:rPr>
        <w:t>. This Amendment may be signed in any number of counterparts, each of which shall be an original, with the same effect as if the signatures thereto and hereto were upon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this Amendment, any document to be signed in connection herewith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w:t>
      </w:r>
      <w:r>
        <w:rPr>
          <w:color w:val="000000"/>
          <w:highlight w:val="white"/>
        </w:rPr>
        <w:t xml:space="preserve"> </w:t>
      </w:r>
      <w:r>
        <w:rPr>
          <w:rFonts w:ascii="Times New Roman;sans-serif" w:hAnsi="Times New Roman;sans-serif"/>
          <w:b w:val="false"/>
          <w:i/>
          <w:color w:val="000000"/>
          <w:sz w:val="24"/>
          <w:highlight w:val="white"/>
        </w:rPr>
        <w:t>provided</w:t>
      </w:r>
      <w:r>
        <w:rPr>
          <w:color w:val="000000"/>
          <w:highlight w:val="white"/>
        </w:rPr>
        <w:t xml:space="preserve"> </w:t>
      </w:r>
      <w:r>
        <w:rPr>
          <w:rFonts w:ascii="Times New Roman;sans-serif" w:hAnsi="Times New Roman;sans-serif"/>
          <w:b w:val="false"/>
          <w:color w:val="000000"/>
          <w:sz w:val="24"/>
          <w:highlight w:val="white"/>
        </w:rPr>
        <w:t>that nothing herein shall require the Administrative Agent to accept electronic signatures in any form or format without its prior written consent. “</w:t>
      </w:r>
      <w:r>
        <w:rPr>
          <w:rFonts w:ascii="Times New Roman;sans-serif" w:hAnsi="Times New Roman;sans-serif"/>
          <w:b w:val="false"/>
          <w:color w:val="000000"/>
          <w:sz w:val="24"/>
          <w:highlight w:val="white"/>
          <w:u w:val="single"/>
        </w:rPr>
        <w:t>Electronic Signatures</w:t>
      </w:r>
      <w:r>
        <w:rPr>
          <w:color w:val="000000"/>
          <w:highlight w:val="white"/>
        </w:rPr>
        <w:t xml:space="preserve">” </w:t>
      </w:r>
      <w:r>
        <w:rPr>
          <w:rFonts w:ascii="Times New Roman;sans-serif" w:hAnsi="Times New Roman;sans-serif"/>
          <w:b w:val="false"/>
          <w:color w:val="000000"/>
          <w:sz w:val="24"/>
          <w:highlight w:val="white"/>
        </w:rPr>
        <w:t xml:space="preserve">means any electronic symbol or process attached to, or associated with, any contract or other record and adopted by a person with the intent to sign, authenticate or accept such contract or record. Without limiting the generality of the foregoing, each Loan Party hereby (i) agrees that, for all purposes, including without limitation, in connection with any workout, restructuring, enforcement of remedies, bankruptcy proceedings or litigation among the Administrative Agent, the Lenders and the Loan Parties, electronic images of this Amendment or any other Loan Documents (in each case, including with respect to any signature pages thereto) shall have the same legal effect, validity and enforceability as any paper original, and (ii) waives </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2100"/>
                <wp:effectExtent l="0" t="0" r="0" b="0"/>
                <wp:wrapNone/>
                <wp:docPr id="54" name="Frame5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any argument, defense or right to contest the validity or enforceability of the Loan Documents based solely on the lack of paper original copies of any Loan Documents, including with respect to any signature pages thereto.</w:t>
      </w:r>
    </w:p>
    <w:p>
      <w:pPr>
        <w:pStyle w:val="TextBody"/>
        <w:spacing w:lineRule="auto" w:line="240" w:before="0" w:after="240"/>
        <w:ind w:left="0" w:right="0" w:firstLine="1440"/>
        <w:jc w:val="both"/>
        <w:rPr/>
      </w:pPr>
      <w:r>
        <w:rPr>
          <w:rFonts w:ascii="Times New Roman;sans-serif" w:hAnsi="Times New Roman;sans-serif"/>
          <w:b w:val="false"/>
          <w:color w:val="010000"/>
          <w:sz w:val="24"/>
        </w:rPr>
        <w:t>SECTION 9.</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highlight w:val="white"/>
        </w:rPr>
        <w:t>. Section headings used in this Amendment are for convenience of reference only, are not part of this Amendment and are not to affect the construction of, or to be taken into consideration in interpreting, this Amendment.</w:t>
      </w:r>
    </w:p>
    <w:p>
      <w:pPr>
        <w:pStyle w:val="TextBody"/>
        <w:spacing w:before="0" w:after="240"/>
        <w:rPr/>
      </w:pPr>
      <w:r>
        <w:rPr/>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2100"/>
                <wp:effectExtent l="0" t="0" r="0" b="0"/>
                <wp:wrapNone/>
                <wp:docPr id="55" name="Frame5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3" w:after="119"/>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executed and delivered by their duly authorized officers as of the date first written above.</w:t>
      </w:r>
    </w:p>
    <w:p>
      <w:pPr>
        <w:pStyle w:val="TextBody"/>
        <w:spacing w:before="3" w:after="119"/>
        <w:jc w:val="both"/>
        <w:rPr/>
      </w:pPr>
      <w:r>
        <w:rPr/>
      </w:r>
    </w:p>
    <w:p>
      <w:pPr>
        <w:pStyle w:val="TextBody"/>
        <w:spacing w:lineRule="auto" w:line="240" w:before="0" w:after="600"/>
        <w:ind w:left="0" w:right="0" w:hanging="180"/>
        <w:rPr>
          <w:rFonts w:ascii="Times New Roman;sans-serif" w:hAnsi="Times New Roman;sans-serif"/>
          <w:b w:val="false"/>
          <w:color w:val="000000"/>
          <w:sz w:val="22"/>
        </w:rPr>
      </w:pPr>
      <w:r>
        <w:rPr>
          <w:rFonts w:ascii="Times New Roman;sans-serif" w:hAnsi="Times New Roman;sans-serif"/>
          <w:b w:val="false"/>
          <w:color w:val="000000"/>
          <w:sz w:val="22"/>
        </w:rPr>
        <w:t>PELOTON INTERACTIVE, INC.,</w:t>
        <w:br/>
        <w:t>as the Borrower</w:t>
      </w:r>
    </w:p>
    <w:p>
      <w:pPr>
        <w:pStyle w:val="TextBody"/>
        <w:spacing w:lineRule="auto" w:line="240" w:before="0" w:after="0"/>
        <w:ind w:left="0" w:right="0" w:hanging="720"/>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Michael Stanton    </w:t>
      </w:r>
      <w:r>
        <w:rPr>
          <w:color w:val="000000"/>
        </w:rPr>
        <w:t xml:space="preserve"> </w:t>
      </w:r>
      <w:r>
        <w:rPr>
          <w:rFonts w:ascii="Times New Roman;sans-serif" w:hAnsi="Times New Roman;sans-serif"/>
          <w:b w:val="false"/>
          <w:color w:val="000000"/>
          <w:sz w:val="22"/>
        </w:rPr>
        <w:br/>
        <w:t>Name: Michael Stanton</w:t>
        <w:br/>
        <w:t>Title: Treasurer</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w:t>
      </w:r>
    </w:p>
    <w:p>
      <w:pPr>
        <w:pStyle w:val="TextBody"/>
        <w:spacing w:lineRule="auto" w:line="240" w:before="0" w:after="600"/>
        <w:ind w:left="0" w:right="0" w:hanging="180"/>
        <w:rPr>
          <w:rFonts w:ascii="Times New Roman;sans-serif" w:hAnsi="Times New Roman;sans-serif"/>
          <w:b w:val="false"/>
          <w:color w:val="000000"/>
          <w:sz w:val="22"/>
        </w:rPr>
      </w:pPr>
      <w:r>
        <w:rPr>
          <w:rFonts w:ascii="Times New Roman;sans-serif" w:hAnsi="Times New Roman;sans-serif"/>
          <w:b w:val="false"/>
          <w:color w:val="000000"/>
          <w:sz w:val="22"/>
        </w:rPr>
        <w:t>as the Administrative Agent and a Revolving Lender</w:t>
      </w:r>
    </w:p>
    <w:p>
      <w:pPr>
        <w:pStyle w:val="TextBody"/>
        <w:spacing w:lineRule="auto" w:line="240" w:before="0" w:after="0"/>
        <w:ind w:left="0" w:right="0" w:hanging="720"/>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Shiv Kariwala    </w:t>
      </w:r>
      <w:r>
        <w:rPr>
          <w:color w:val="000000"/>
        </w:rPr>
        <w:t xml:space="preserve"> </w:t>
      </w:r>
      <w:r>
        <w:rPr>
          <w:rFonts w:ascii="Times New Roman;sans-serif" w:hAnsi="Times New Roman;sans-serif"/>
          <w:b w:val="false"/>
          <w:color w:val="000000"/>
          <w:sz w:val="22"/>
        </w:rPr>
        <w:br/>
        <w:t xml:space="preserve">Name: Shiv Kariwala </w:t>
        <w:br/>
        <w:t>Title: Authorized Officer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GOLDMAN SACHS LENDING PARTNERS LLC,</w:t>
      </w:r>
    </w:p>
    <w:p>
      <w:pPr>
        <w:pStyle w:val="TextBody"/>
        <w:spacing w:lineRule="auto" w:line="240" w:before="0" w:after="600"/>
        <w:ind w:left="0" w:right="0" w:hanging="180"/>
        <w:rPr>
          <w:rFonts w:ascii="Times New Roman;sans-serif" w:hAnsi="Times New Roman;sans-serif"/>
          <w:b w:val="false"/>
          <w:color w:val="000000"/>
          <w:sz w:val="22"/>
        </w:rPr>
      </w:pPr>
      <w:r>
        <w:rPr>
          <w:rFonts w:ascii="Times New Roman;sans-serif" w:hAnsi="Times New Roman;sans-serif"/>
          <w:b w:val="false"/>
          <w:color w:val="000000"/>
          <w:sz w:val="22"/>
        </w:rPr>
        <w:t>as a Revolving Lender</w:t>
      </w:r>
    </w:p>
    <w:p>
      <w:pPr>
        <w:pStyle w:val="TextBody"/>
        <w:spacing w:lineRule="auto" w:line="240" w:before="0" w:after="0"/>
        <w:ind w:left="0" w:right="0" w:hanging="720"/>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Keshia Leday    </w:t>
      </w:r>
      <w:r>
        <w:rPr>
          <w:color w:val="000000"/>
        </w:rPr>
        <w:t xml:space="preserve"> </w:t>
      </w:r>
      <w:r>
        <w:rPr>
          <w:rFonts w:ascii="Times New Roman;sans-serif" w:hAnsi="Times New Roman;sans-serif"/>
          <w:b w:val="false"/>
          <w:color w:val="000000"/>
          <w:sz w:val="22"/>
        </w:rPr>
        <w:br/>
        <w:t>Name: Keshia Leday</w:t>
        <w:br/>
        <w:t xml:space="preserve">Title: Authorized Signatory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Citibank, N.A.,</w:t>
      </w:r>
    </w:p>
    <w:p>
      <w:pPr>
        <w:pStyle w:val="TextBody"/>
        <w:spacing w:lineRule="auto" w:line="240" w:before="0" w:after="600"/>
        <w:ind w:left="0" w:right="0" w:hanging="180"/>
        <w:rPr>
          <w:rFonts w:ascii="Times New Roman;sans-serif" w:hAnsi="Times New Roman;sans-serif"/>
          <w:b w:val="false"/>
          <w:color w:val="000000"/>
          <w:sz w:val="22"/>
        </w:rPr>
      </w:pPr>
      <w:r>
        <w:rPr>
          <w:rFonts w:ascii="Times New Roman;sans-serif" w:hAnsi="Times New Roman;sans-serif"/>
          <w:b w:val="false"/>
          <w:color w:val="000000"/>
          <w:sz w:val="22"/>
        </w:rPr>
        <w:t>as a Revolving Lender</w:t>
      </w:r>
    </w:p>
    <w:p>
      <w:pPr>
        <w:pStyle w:val="TextBody"/>
        <w:spacing w:lineRule="auto" w:line="240" w:before="0" w:after="0"/>
        <w:ind w:left="0" w:right="0" w:hanging="720"/>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Kyle Scanlon    </w:t>
      </w:r>
      <w:r>
        <w:rPr>
          <w:rFonts w:ascii="Times New Roman;sans-serif" w:hAnsi="Times New Roman;sans-serif"/>
          <w:b w:val="false"/>
          <w:color w:val="000000"/>
          <w:sz w:val="22"/>
        </w:rPr>
        <w:br/>
        <w:t>Name: Kyle Scanlon</w:t>
        <w:br/>
        <w:t>Title: Authorized Signatory</w:t>
      </w:r>
    </w:p>
    <w:p>
      <w:pPr>
        <w:pStyle w:val="TextBody"/>
        <w:spacing w:before="0" w:after="0"/>
        <w:ind w:left="0" w:right="0" w:hanging="72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p>
      <w:pPr>
        <w:pStyle w:val="TextBody"/>
        <w:spacing w:lineRule="auto" w:line="240" w:before="0" w:after="600"/>
        <w:ind w:left="0" w:right="0" w:hanging="180"/>
        <w:rPr>
          <w:rFonts w:ascii="Times New Roman;sans-serif" w:hAnsi="Times New Roman;sans-serif"/>
          <w:b w:val="false"/>
          <w:color w:val="000000"/>
          <w:sz w:val="22"/>
        </w:rPr>
      </w:pPr>
      <w:r>
        <w:rPr>
          <w:rFonts w:ascii="Times New Roman;sans-serif" w:hAnsi="Times New Roman;sans-serif"/>
          <w:b w:val="false"/>
          <w:color w:val="000000"/>
          <w:sz w:val="22"/>
        </w:rPr>
        <w:t>as a Revolving Lender</w:t>
      </w:r>
    </w:p>
    <w:p>
      <w:pPr>
        <w:pStyle w:val="TextBody"/>
        <w:spacing w:lineRule="auto" w:line="240" w:before="0" w:after="0"/>
        <w:ind w:left="0" w:right="0" w:hanging="720"/>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Sean Duggan    </w:t>
      </w:r>
      <w:r>
        <w:rPr>
          <w:rFonts w:ascii="Times New Roman;sans-serif" w:hAnsi="Times New Roman;sans-serif"/>
          <w:b w:val="false"/>
          <w:color w:val="000000"/>
          <w:sz w:val="22"/>
        </w:rPr>
        <w:br/>
        <w:t>Name: Sean Duggan</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C</w:t>
      </w:r>
      <w:r>
        <w:rPr>
          <w:rFonts w:ascii="Roboto;sans-serif" w:hAnsi="Roboto;sans-serif"/>
          <w:b/>
          <w:color w:val="000000"/>
          <w:sz w:val="24"/>
        </w:rPr>
        <w:t>ERTIFICATION OF PRINCIPAL EXECUTIVE OFFICER PURSUANT TO</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Second Amendment to Second Amended and Restated Credit Agreement</w:t>
                      </w:r>
                      <w:r>
                        <w:rPr>
                          <w:rFonts w:ascii="Times New Roman;sans-serif" w:hAnsi="Times New Roman;sans-serif"/>
                          <w:b w:val="false"/>
                          <w:color w:val="000000"/>
                          <w:sz w:val="22"/>
                        </w:rPr>
                        <w:t>]</w:t>
                      </w:r>
                      <w:r>
                        <w:rPr>
                          <w:rFonts w:ascii="Times New Roman;sans-serif" w:hAnsi="Times New Roman;sans-serif"/>
                          <w:b w:val="false"/>
                          <w:color w:val="000000"/>
                          <w:sz w:val="16"/>
                        </w:rPr>
                        <w:t>|</w:t>
                      </w:r>
                    </w:p>
                  </w:txbxContent>
                </v:textbox>
              </v:rect>
            </w:pict>
          </mc:Fallback>
        </mc:AlternateConten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Barry McCarthy, certify that:</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ind w:left="0" w:right="0" w:firstLine="360"/>
        <w:jc w:val="both"/>
        <w:rPr/>
      </w:pPr>
      <w:r>
        <w:rPr/>
      </w:r>
    </w:p>
    <w:p>
      <w:pPr>
        <w:pStyle w:val="TextBody"/>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hanging="360"/>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Date: May 4, 2023</w:t>
      </w:r>
    </w:p>
    <w:p>
      <w:pPr>
        <w:pStyle w:val="TextBody"/>
        <w:spacing w:before="0" w:after="0"/>
        <w:rPr/>
      </w:pPr>
      <w:r>
        <w:rPr/>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By: /s/ Barry McCarthy</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Barry McCarthy</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spacing w:lineRule="auto" w:line="288"/>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C</w:t>
      </w:r>
      <w:r>
        <w:rPr>
          <w:rFonts w:ascii="Roboto;sans-serif" w:hAnsi="Roboto;sans-serif"/>
          <w:b/>
          <w:color w:val="000000"/>
          <w:sz w:val="24"/>
        </w:rPr>
        <w:t>ERTIFICATION OF PRINCIPAL FINANCIAL OFFICER PURSUANT TO</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certify that:</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ind w:left="0" w:right="0" w:firstLine="360"/>
        <w:jc w:val="both"/>
        <w:rPr/>
      </w:pPr>
      <w:r>
        <w:rPr/>
      </w:r>
    </w:p>
    <w:p>
      <w:pPr>
        <w:pStyle w:val="TextBody"/>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hanging="360"/>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Date: May 4, 2023</w:t>
      </w:r>
    </w:p>
    <w:p>
      <w:pPr>
        <w:pStyle w:val="TextBody"/>
        <w:spacing w:before="0" w:after="0"/>
        <w:rPr/>
      </w:pPr>
      <w:r>
        <w:rPr/>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spacing w:lineRule="auto" w:line="288"/>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C</w:t>
      </w:r>
      <w:r>
        <w:rPr>
          <w:rFonts w:ascii="Roboto;sans-serif" w:hAnsi="Roboto;sans-serif"/>
          <w:b/>
          <w:color w:val="000000"/>
          <w:sz w:val="24"/>
        </w:rPr>
        <w:t>ERTIFICATION OF PRINCIPAL EXECUTIVE OFFICER PURSUANT TO</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Barry McCarthy, Chief Executive Officer of Peloton Interactive, Inc. (the “Company”), do hereby certify, pursuant to 18 U.S.C. Section 1350, as adopted pursuant to Section 906 of the Sarbanes-Oxley Act of 2002, that to the best of my knowledge:</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March 31, 2023 (the “Report”) fully complies with the requirements of Section 13(a) or 15(d) of the Securities Exchange Act of 1934, as amended; and</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Date: May 4, 2023</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Barry McCarthy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Barry McCarthy</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spacing w:lineRule="auto" w:line="288"/>
        <w:jc w:val="both"/>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C</w:t>
      </w:r>
      <w:r>
        <w:rPr>
          <w:rFonts w:ascii="Roboto;sans-serif" w:hAnsi="Roboto;sans-serif"/>
          <w:b/>
          <w:color w:val="000000"/>
          <w:sz w:val="24"/>
        </w:rPr>
        <w:t>ERTIFICATION OF PRINCIPAL FINANCIAL OFFICER PURSUANT TO</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Chief Financial Officer of Peloton Interactive, Inc. (the “Company”), do hereby certify, pursuant to 18 U.S.C. Section 1350, as adopted pursuant to Section 906 of the Sarbanes-Oxley Act of 2002, that to the best of my knowledge:</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March 31, 2023 (the “Report”) fully complies with the requirements of Section 13(a) or 15(d) of the Securities Exchange Act of 1934, as amended; and</w:t>
      </w:r>
    </w:p>
    <w:p>
      <w:pPr>
        <w:pStyle w:val="TextBody"/>
        <w:spacing w:before="0" w:after="0"/>
        <w:jc w:val="both"/>
        <w:rPr/>
      </w:pPr>
      <w:r>
        <w:rPr/>
      </w:r>
    </w:p>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Date: May 4, 2023</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spacing w:lineRule="auto" w:line="288"/>
        <w:rPr>
          <w:rFonts w:ascii="Roboto;sans-serif" w:hAnsi="Roboto;sans-serif"/>
          <w:b w:val="false"/>
          <w:i/>
          <w:color w:val="000000"/>
          <w:sz w:val="18"/>
        </w:rPr>
      </w:pPr>
      <w:r>
        <w:rPr>
          <w:rFonts w:ascii="Roboto;sans-serif" w:hAnsi="Roboto;sans-serif"/>
          <w:b w:val="false"/>
          <w:i/>
          <w:color w:val="000000"/>
          <w:sz w:val="18"/>
        </w:rPr>
        <w:t>(Principal Financial Officer)</w:t>
      </w:r>
      <w:r>
        <w:br w:type="page"/>
      </w:r>
    </w:p>
    <w:p>
      <w:pPr>
        <w:pStyle w:val="TextBody"/>
        <w:spacing w:before="0" w:after="283"/>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Roboto">
    <w:altName w:val="sans-serif"/>
    <w:charset w:val="00"/>
    <w:family w:val="auto"/>
    <w:pitch w:val="default"/>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35747</Words>
  <CharactersWithSpaces>232648</CharactersWithSpaces>
  <Paragraphs>3209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