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March 31, 2026</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 of May 4, 2026, the number of shares of the registrant’s Class A common stock outstanding was 417,155,201, and the number of shares of the registrant’s Class B common stock outstanding was 15,836,724.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tbl>
      <w:tblPr>
        <w:tblW w:w="10205" w:type="dxa"/>
        <w:jc w:val="center"/>
        <w:tblInd w:w="0" w:type="dxa"/>
        <w:tblLayout w:type="fixed"/>
        <w:tblCellMar>
          <w:top w:w="28" w:type="dxa"/>
          <w:left w:w="28" w:type="dxa"/>
          <w:bottom w:w="28" w:type="dxa"/>
          <w:right w:w="28" w:type="dxa"/>
        </w:tblCellMar>
      </w:tblPr>
      <w:tblGrid>
        <w:gridCol w:w="266"/>
        <w:gridCol w:w="233"/>
        <w:gridCol w:w="234"/>
        <w:gridCol w:w="3025"/>
        <w:gridCol w:w="2906"/>
        <w:gridCol w:w="2877"/>
        <w:gridCol w:w="193"/>
        <w:gridCol w:w="193"/>
        <w:gridCol w:w="278"/>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0">
              <w:r>
                <w:rPr>
                  <w:rStyle w:val="InternetLink"/>
                  <w:rFonts w:ascii="Roboto;sans-serif" w:hAnsi="Roboto;sans-serif"/>
                  <w:b w:val="false"/>
                  <w:color w:val="0000FF"/>
                  <w:sz w:val="18"/>
                  <w:u w:val="single"/>
                </w:rPr>
                <w:t>Special Note Regarding Forward-Looking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0">
              <w:r>
                <w:rPr>
                  <w:rStyle w:val="InternetLink"/>
                  <w:rFonts w:ascii="Roboto;sans-serif" w:hAnsi="Roboto;sans-serif"/>
                  <w:b w:val="false"/>
                  <w:color w:val="0000FF"/>
                  <w:sz w:val="18"/>
                  <w:u w:val="single"/>
                </w:rPr>
                <w:t>3</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6">
              <w:r>
                <w:rPr>
                  <w:rStyle w:val="InternetLink"/>
                  <w:rFonts w:ascii="Roboto;sans-serif" w:hAnsi="Roboto;sans-serif"/>
                  <w:b w:val="false"/>
                  <w:color w:val="0000FF"/>
                  <w:sz w:val="18"/>
                  <w:u w:val="single"/>
                </w:rPr>
                <w:t>Item 1.</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6">
              <w:r>
                <w:rPr>
                  <w:rStyle w:val="InternetLink"/>
                  <w:rFonts w:ascii="Roboto;sans-serif" w:hAnsi="Roboto;sans-serif"/>
                  <w:b w:val="false"/>
                  <w:color w:val="0000FF"/>
                  <w:sz w:val="18"/>
                  <w:u w:val="single"/>
                </w:rPr>
                <w:t>Financial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6">
              <w:r>
                <w:rPr>
                  <w:rStyle w:val="InternetLink"/>
                  <w:rFonts w:ascii="Roboto;sans-serif" w:hAnsi="Roboto;sans-serif"/>
                  <w:b w:val="false"/>
                  <w:color w:val="0000FF"/>
                  <w:sz w:val="18"/>
                  <w:u w:val="single"/>
                </w:rPr>
                <w:t>4</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9">
              <w:r>
                <w:rPr>
                  <w:rStyle w:val="InternetLink"/>
                  <w:rFonts w:ascii="Roboto;sans-serif" w:hAnsi="Roboto;sans-serif"/>
                  <w:b w:val="false"/>
                  <w:color w:val="000080"/>
                  <w:sz w:val="18"/>
                  <w:u w:val="single"/>
                </w:rPr>
                <w:t xml:space="preserve">Condensed Consolidated Balance Sheets as of </w:t>
              </w:r>
            </w:hyperlink>
            <w:hyperlink w:anchor="ibbad210ebef44d72885362f35ffda450_19">
              <w:r>
                <w:rPr>
                  <w:rStyle w:val="InternetLink"/>
                  <w:rFonts w:ascii="Roboto;sans-serif" w:hAnsi="Roboto;sans-serif"/>
                  <w:b w:val="false"/>
                  <w:color w:val="000080"/>
                  <w:sz w:val="18"/>
                  <w:u w:val="single"/>
                </w:rPr>
                <w:t>M</w:t>
              </w:r>
            </w:hyperlink>
            <w:hyperlink w:anchor="ibbad210ebef44d72885362f35ffda450_19">
              <w:r>
                <w:rPr>
                  <w:rStyle w:val="InternetLink"/>
                  <w:rFonts w:ascii="Roboto;sans-serif" w:hAnsi="Roboto;sans-serif"/>
                  <w:b w:val="false"/>
                  <w:color w:val="000080"/>
                  <w:sz w:val="18"/>
                  <w:u w:val="single"/>
                </w:rPr>
                <w:t>ar</w:t>
              </w:r>
            </w:hyperlink>
            <w:hyperlink w:anchor="ibbad210ebef44d72885362f35ffda450_19">
              <w:r>
                <w:rPr>
                  <w:rStyle w:val="InternetLink"/>
                  <w:rFonts w:ascii="Roboto;sans-serif" w:hAnsi="Roboto;sans-serif"/>
                  <w:b w:val="false"/>
                  <w:color w:val="000080"/>
                  <w:sz w:val="18"/>
                  <w:u w:val="single"/>
                </w:rPr>
                <w:t>ch 31</w:t>
              </w:r>
            </w:hyperlink>
            <w:hyperlink w:anchor="ibbad210ebef44d72885362f35ffda450_19">
              <w:r>
                <w:rPr>
                  <w:rStyle w:val="InternetLink"/>
                  <w:rFonts w:ascii="Roboto;sans-serif" w:hAnsi="Roboto;sans-serif"/>
                  <w:b w:val="false"/>
                  <w:color w:val="000080"/>
                  <w:sz w:val="18"/>
                  <w:u w:val="single"/>
                </w:rPr>
                <w:t>, 202</w:t>
              </w:r>
            </w:hyperlink>
            <w:hyperlink w:anchor="ibbad210ebef44d72885362f35ffda450_19">
              <w:r>
                <w:rPr>
                  <w:rStyle w:val="InternetLink"/>
                  <w:rFonts w:ascii="Roboto;sans-serif" w:hAnsi="Roboto;sans-serif"/>
                  <w:b w:val="false"/>
                  <w:color w:val="000080"/>
                  <w:sz w:val="18"/>
                  <w:u w:val="single"/>
                </w:rPr>
                <w:t>6</w:t>
              </w:r>
            </w:hyperlink>
            <w:hyperlink w:anchor="ibbad210ebef44d72885362f35ffda450_19">
              <w:r>
                <w:rPr>
                  <w:rStyle w:val="InternetLink"/>
                  <w:rFonts w:ascii="Roboto;sans-serif" w:hAnsi="Roboto;sans-serif"/>
                  <w:b w:val="false"/>
                  <w:color w:val="000080"/>
                  <w:sz w:val="18"/>
                  <w:u w:val="single"/>
                </w:rPr>
                <w:t xml:space="preserve"> (unaudited) and June 30, 2025</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9">
              <w:r>
                <w:rPr>
                  <w:rStyle w:val="InternetLink"/>
                  <w:rFonts w:ascii="Roboto;sans-serif" w:hAnsi="Roboto;sans-serif"/>
                  <w:b w:val="false"/>
                  <w:color w:val="0000FF"/>
                  <w:sz w:val="18"/>
                  <w:u w:val="single"/>
                </w:rPr>
                <w:t>4</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22">
              <w:r>
                <w:rPr>
                  <w:rStyle w:val="InternetLink"/>
                  <w:rFonts w:ascii="Roboto;sans-serif" w:hAnsi="Roboto;sans-serif"/>
                  <w:b w:val="false"/>
                  <w:color w:val="000080"/>
                  <w:sz w:val="18"/>
                  <w:u w:val="single"/>
                </w:rPr>
                <w:t xml:space="preserve">Condensed Consolidated Statements of Operations and Comprehensive </w:t>
              </w:r>
            </w:hyperlink>
            <w:hyperlink w:anchor="ibbad210ebef44d72885362f35ffda450_22">
              <w:r>
                <w:rPr>
                  <w:rStyle w:val="InternetLink"/>
                  <w:rFonts w:ascii="Roboto;sans-serif" w:hAnsi="Roboto;sans-serif"/>
                  <w:b w:val="false"/>
                  <w:color w:val="000080"/>
                  <w:sz w:val="18"/>
                  <w:u w:val="single"/>
                </w:rPr>
                <w:t>Income (</w:t>
              </w:r>
            </w:hyperlink>
            <w:hyperlink w:anchor="ibbad210ebef44d72885362f35ffda450_22">
              <w:r>
                <w:rPr>
                  <w:rStyle w:val="InternetLink"/>
                  <w:rFonts w:ascii="Roboto;sans-serif" w:hAnsi="Roboto;sans-serif"/>
                  <w:b w:val="false"/>
                  <w:color w:val="000080"/>
                  <w:sz w:val="18"/>
                  <w:u w:val="single"/>
                </w:rPr>
                <w:t>Loss</w:t>
              </w:r>
            </w:hyperlink>
            <w:hyperlink w:anchor="ibbad210ebef44d72885362f35ffda450_22">
              <w:r>
                <w:rPr>
                  <w:rStyle w:val="InternetLink"/>
                  <w:rFonts w:ascii="Roboto;sans-serif" w:hAnsi="Roboto;sans-serif"/>
                  <w:b w:val="false"/>
                  <w:color w:val="000080"/>
                  <w:sz w:val="18"/>
                  <w:u w:val="single"/>
                </w:rPr>
                <w:t>)</w:t>
              </w:r>
            </w:hyperlink>
            <w:hyperlink w:anchor="ibbad210ebef44d72885362f35ffda450_22">
              <w:r>
                <w:rPr>
                  <w:rStyle w:val="InternetLink"/>
                  <w:rFonts w:ascii="Roboto;sans-serif" w:hAnsi="Roboto;sans-serif"/>
                  <w:b w:val="false"/>
                  <w:color w:val="000080"/>
                  <w:sz w:val="18"/>
                  <w:u w:val="single"/>
                </w:rPr>
                <w:t xml:space="preserve"> for the Three and </w:t>
              </w:r>
            </w:hyperlink>
            <w:hyperlink w:anchor="ibbad210ebef44d72885362f35ffda450_22">
              <w:r>
                <w:rPr>
                  <w:rStyle w:val="InternetLink"/>
                  <w:rFonts w:ascii="Roboto;sans-serif" w:hAnsi="Roboto;sans-serif"/>
                  <w:b w:val="false"/>
                  <w:color w:val="000080"/>
                  <w:sz w:val="18"/>
                  <w:u w:val="single"/>
                </w:rPr>
                <w:t>Nine</w:t>
              </w:r>
            </w:hyperlink>
            <w:hyperlink w:anchor="ibbad210ebef44d72885362f35ffda450_22">
              <w:r>
                <w:rPr>
                  <w:rStyle w:val="InternetLink"/>
                  <w:rFonts w:ascii="Roboto;sans-serif" w:hAnsi="Roboto;sans-serif"/>
                  <w:b w:val="false"/>
                  <w:color w:val="000080"/>
                  <w:sz w:val="18"/>
                  <w:u w:val="single"/>
                </w:rPr>
                <w:t xml:space="preserve"> Months Ended </w:t>
              </w:r>
            </w:hyperlink>
            <w:hyperlink w:anchor="ibbad210ebef44d72885362f35ffda450_22">
              <w:r>
                <w:rPr>
                  <w:rStyle w:val="InternetLink"/>
                  <w:rFonts w:ascii="Roboto;sans-serif" w:hAnsi="Roboto;sans-serif"/>
                  <w:b w:val="false"/>
                  <w:color w:val="000080"/>
                  <w:sz w:val="18"/>
                  <w:u w:val="single"/>
                </w:rPr>
                <w:t xml:space="preserve">March </w:t>
              </w:r>
            </w:hyperlink>
            <w:hyperlink w:anchor="ibbad210ebef44d72885362f35ffda450_22">
              <w:r>
                <w:rPr>
                  <w:rStyle w:val="InternetLink"/>
                  <w:rFonts w:ascii="Roboto;sans-serif" w:hAnsi="Roboto;sans-serif"/>
                  <w:b w:val="false"/>
                  <w:color w:val="000080"/>
                  <w:sz w:val="18"/>
                  <w:u w:val="single"/>
                </w:rPr>
                <w:t>31</w:t>
              </w:r>
            </w:hyperlink>
            <w:hyperlink w:anchor="ibbad210ebef44d72885362f35ffda450_22">
              <w:r>
                <w:rPr>
                  <w:rStyle w:val="InternetLink"/>
                  <w:rFonts w:ascii="Roboto;sans-serif" w:hAnsi="Roboto;sans-serif"/>
                  <w:b w:val="false"/>
                  <w:color w:val="000080"/>
                  <w:sz w:val="18"/>
                  <w:u w:val="single"/>
                </w:rPr>
                <w:t>, 202</w:t>
              </w:r>
            </w:hyperlink>
            <w:hyperlink w:anchor="ibbad210ebef44d72885362f35ffda450_22">
              <w:r>
                <w:rPr>
                  <w:rStyle w:val="InternetLink"/>
                  <w:rFonts w:ascii="Roboto;sans-serif" w:hAnsi="Roboto;sans-serif"/>
                  <w:b w:val="false"/>
                  <w:color w:val="000080"/>
                  <w:sz w:val="18"/>
                  <w:u w:val="single"/>
                </w:rPr>
                <w:t>6</w:t>
              </w:r>
            </w:hyperlink>
            <w:hyperlink w:anchor="ibbad210ebef44d72885362f35ffda450_22">
              <w:r>
                <w:rPr>
                  <w:rStyle w:val="InternetLink"/>
                  <w:rFonts w:ascii="Roboto;sans-serif" w:hAnsi="Roboto;sans-serif"/>
                  <w:b w:val="false"/>
                  <w:color w:val="000080"/>
                  <w:sz w:val="18"/>
                  <w:u w:val="single"/>
                </w:rPr>
                <w:t xml:space="preserve"> and 202</w:t>
              </w:r>
            </w:hyperlink>
            <w:hyperlink w:anchor="ibbad210ebef44d72885362f35ffda450_22">
              <w:r>
                <w:rPr>
                  <w:rStyle w:val="InternetLink"/>
                  <w:rFonts w:ascii="Roboto;sans-serif" w:hAnsi="Roboto;sans-serif"/>
                  <w:b w:val="false"/>
                  <w:color w:val="000080"/>
                  <w:sz w:val="18"/>
                  <w:u w:val="single"/>
                </w:rPr>
                <w:t>5</w:t>
              </w:r>
            </w:hyperlink>
            <w:hyperlink w:anchor="ibbad210ebef44d72885362f35ffda450_22">
              <w:r>
                <w:rPr>
                  <w:rStyle w:val="InternetLink"/>
                  <w:rFonts w:ascii="Roboto;sans-serif" w:hAnsi="Roboto;sans-serif"/>
                  <w:b w:val="false"/>
                  <w:color w:val="000080"/>
                  <w:sz w:val="18"/>
                  <w:u w:val="single"/>
                </w:rPr>
                <w:t xml:space="preserve">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22">
              <w:r>
                <w:rPr>
                  <w:rStyle w:val="InternetLink"/>
                  <w:rFonts w:ascii="Roboto;sans-serif" w:hAnsi="Roboto;sans-serif"/>
                  <w:b w:val="false"/>
                  <w:color w:val="0000FF"/>
                  <w:sz w:val="18"/>
                  <w:u w:val="single"/>
                </w:rPr>
                <w:t>5</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25">
              <w:r>
                <w:rPr>
                  <w:rStyle w:val="InternetLink"/>
                  <w:rFonts w:ascii="Roboto;sans-serif" w:hAnsi="Roboto;sans-serif"/>
                  <w:b w:val="false"/>
                  <w:color w:val="000080"/>
                  <w:sz w:val="18"/>
                  <w:u w:val="single"/>
                </w:rPr>
                <w:t xml:space="preserve">Condensed Consolidated Statements of Cash Flows for the </w:t>
              </w:r>
            </w:hyperlink>
            <w:hyperlink w:anchor="ibbad210ebef44d72885362f35ffda450_25">
              <w:r>
                <w:rPr>
                  <w:rStyle w:val="InternetLink"/>
                  <w:rFonts w:ascii="Roboto;sans-serif" w:hAnsi="Roboto;sans-serif"/>
                  <w:b w:val="false"/>
                  <w:color w:val="000080"/>
                  <w:sz w:val="18"/>
                  <w:u w:val="single"/>
                </w:rPr>
                <w:t>Ni</w:t>
              </w:r>
            </w:hyperlink>
            <w:hyperlink w:anchor="ibbad210ebef44d72885362f35ffda450_25">
              <w:r>
                <w:rPr>
                  <w:rStyle w:val="InternetLink"/>
                  <w:rFonts w:ascii="Roboto;sans-serif" w:hAnsi="Roboto;sans-serif"/>
                  <w:b w:val="false"/>
                  <w:color w:val="000080"/>
                  <w:sz w:val="18"/>
                  <w:u w:val="single"/>
                </w:rPr>
                <w:t>ne</w:t>
              </w:r>
            </w:hyperlink>
            <w:hyperlink w:anchor="ibbad210ebef44d72885362f35ffda450_25">
              <w:r>
                <w:rPr>
                  <w:rStyle w:val="InternetLink"/>
                  <w:rFonts w:ascii="Roboto;sans-serif" w:hAnsi="Roboto;sans-serif"/>
                  <w:b w:val="false"/>
                  <w:color w:val="000080"/>
                  <w:sz w:val="18"/>
                  <w:u w:val="single"/>
                </w:rPr>
                <w:t xml:space="preserve"> Months Ended </w:t>
              </w:r>
            </w:hyperlink>
            <w:hyperlink w:anchor="ibbad210ebef44d72885362f35ffda450_25">
              <w:r>
                <w:rPr>
                  <w:rStyle w:val="InternetLink"/>
                  <w:rFonts w:ascii="Roboto;sans-serif" w:hAnsi="Roboto;sans-serif"/>
                  <w:b w:val="false"/>
                  <w:color w:val="000080"/>
                  <w:sz w:val="18"/>
                  <w:u w:val="single"/>
                </w:rPr>
                <w:t>March</w:t>
              </w:r>
            </w:hyperlink>
            <w:hyperlink w:anchor="ibbad210ebef44d72885362f35ffda450_25">
              <w:r>
                <w:rPr>
                  <w:rStyle w:val="InternetLink"/>
                  <w:rFonts w:ascii="Roboto;sans-serif" w:hAnsi="Roboto;sans-serif"/>
                  <w:b w:val="false"/>
                  <w:color w:val="000080"/>
                  <w:sz w:val="18"/>
                  <w:u w:val="single"/>
                </w:rPr>
                <w:t xml:space="preserve"> 31, 202</w:t>
              </w:r>
            </w:hyperlink>
            <w:hyperlink w:anchor="ibbad210ebef44d72885362f35ffda450_25">
              <w:r>
                <w:rPr>
                  <w:rStyle w:val="InternetLink"/>
                  <w:rFonts w:ascii="Roboto;sans-serif" w:hAnsi="Roboto;sans-serif"/>
                  <w:b w:val="false"/>
                  <w:color w:val="000080"/>
                  <w:sz w:val="18"/>
                  <w:u w:val="single"/>
                </w:rPr>
                <w:t>6</w:t>
              </w:r>
            </w:hyperlink>
            <w:hyperlink w:anchor="ibbad210ebef44d72885362f35ffda450_25">
              <w:r>
                <w:rPr>
                  <w:rStyle w:val="InternetLink"/>
                  <w:rFonts w:ascii="Roboto;sans-serif" w:hAnsi="Roboto;sans-serif"/>
                  <w:b w:val="false"/>
                  <w:color w:val="000080"/>
                  <w:sz w:val="18"/>
                  <w:u w:val="single"/>
                </w:rPr>
                <w:t xml:space="preserve"> and 202</w:t>
              </w:r>
            </w:hyperlink>
            <w:hyperlink w:anchor="ibbad210ebef44d72885362f35ffda450_25">
              <w:r>
                <w:rPr>
                  <w:rStyle w:val="InternetLink"/>
                  <w:rFonts w:ascii="Roboto;sans-serif" w:hAnsi="Roboto;sans-serif"/>
                  <w:b w:val="false"/>
                  <w:color w:val="000080"/>
                  <w:sz w:val="18"/>
                  <w:u w:val="single"/>
                </w:rPr>
                <w:t>5</w:t>
              </w:r>
            </w:hyperlink>
            <w:hyperlink w:anchor="ibbad210ebef44d72885362f35ffda450_25">
              <w:r>
                <w:rPr>
                  <w:rStyle w:val="InternetLink"/>
                  <w:rFonts w:ascii="Roboto;sans-serif" w:hAnsi="Roboto;sans-serif"/>
                  <w:b w:val="false"/>
                  <w:color w:val="000080"/>
                  <w:sz w:val="18"/>
                  <w:u w:val="single"/>
                </w:rPr>
                <w:t xml:space="preserve">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25">
              <w:r>
                <w:rPr>
                  <w:rStyle w:val="InternetLink"/>
                  <w:rFonts w:ascii="Roboto;sans-serif" w:hAnsi="Roboto;sans-serif"/>
                  <w:b w:val="false"/>
                  <w:color w:val="0000FF"/>
                  <w:sz w:val="18"/>
                  <w:u w:val="single"/>
                </w:rPr>
                <w:t>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28">
              <w:r>
                <w:rPr>
                  <w:rStyle w:val="InternetLink"/>
                  <w:rFonts w:ascii="Roboto;sans-serif" w:hAnsi="Roboto;sans-serif"/>
                  <w:b w:val="false"/>
                  <w:color w:val="000080"/>
                  <w:sz w:val="18"/>
                  <w:u w:val="single"/>
                </w:rPr>
                <w:t xml:space="preserve">Condensed Consolidated Statements of Stockholders' Deficit for the Three and </w:t>
              </w:r>
            </w:hyperlink>
            <w:hyperlink w:anchor="ibbad210ebef44d72885362f35ffda450_28">
              <w:r>
                <w:rPr>
                  <w:rStyle w:val="InternetLink"/>
                  <w:rFonts w:ascii="Roboto;sans-serif" w:hAnsi="Roboto;sans-serif"/>
                  <w:b w:val="false"/>
                  <w:color w:val="000080"/>
                  <w:sz w:val="18"/>
                  <w:u w:val="single"/>
                </w:rPr>
                <w:t>Nine</w:t>
              </w:r>
            </w:hyperlink>
            <w:hyperlink w:anchor="ibbad210ebef44d72885362f35ffda450_28">
              <w:r>
                <w:rPr>
                  <w:rStyle w:val="InternetLink"/>
                  <w:rFonts w:ascii="Roboto;sans-serif" w:hAnsi="Roboto;sans-serif"/>
                  <w:b w:val="false"/>
                  <w:color w:val="000080"/>
                  <w:sz w:val="18"/>
                  <w:u w:val="single"/>
                </w:rPr>
                <w:t xml:space="preserve"> Months Ended </w:t>
              </w:r>
            </w:hyperlink>
            <w:hyperlink w:anchor="ibbad210ebef44d72885362f35ffda450_28">
              <w:r>
                <w:rPr>
                  <w:rStyle w:val="InternetLink"/>
                  <w:rFonts w:ascii="Roboto;sans-serif" w:hAnsi="Roboto;sans-serif"/>
                  <w:b w:val="false"/>
                  <w:color w:val="000080"/>
                  <w:sz w:val="18"/>
                  <w:u w:val="single"/>
                </w:rPr>
                <w:t xml:space="preserve">March </w:t>
              </w:r>
            </w:hyperlink>
            <w:hyperlink w:anchor="ibbad210ebef44d72885362f35ffda450_28">
              <w:r>
                <w:rPr>
                  <w:rStyle w:val="InternetLink"/>
                  <w:rFonts w:ascii="Roboto;sans-serif" w:hAnsi="Roboto;sans-serif"/>
                  <w:b w:val="false"/>
                  <w:color w:val="000080"/>
                  <w:sz w:val="18"/>
                  <w:u w:val="single"/>
                </w:rPr>
                <w:t xml:space="preserve">31, </w:t>
              </w:r>
            </w:hyperlink>
            <w:hyperlink w:anchor="ibbad210ebef44d72885362f35ffda450_28">
              <w:r>
                <w:rPr>
                  <w:rStyle w:val="InternetLink"/>
                  <w:rFonts w:ascii="Roboto;sans-serif" w:hAnsi="Roboto;sans-serif"/>
                  <w:b w:val="false"/>
                  <w:color w:val="000080"/>
                  <w:sz w:val="18"/>
                  <w:u w:val="single"/>
                </w:rPr>
                <w:t xml:space="preserve">2026 and </w:t>
              </w:r>
            </w:hyperlink>
            <w:hyperlink w:anchor="ibbad210ebef44d72885362f35ffda450_28">
              <w:r>
                <w:rPr>
                  <w:rStyle w:val="InternetLink"/>
                  <w:rFonts w:ascii="Roboto;sans-serif" w:hAnsi="Roboto;sans-serif"/>
                  <w:b w:val="false"/>
                  <w:color w:val="000080"/>
                  <w:sz w:val="18"/>
                  <w:u w:val="single"/>
                </w:rPr>
                <w:t>2025</w:t>
              </w:r>
            </w:hyperlink>
            <w:hyperlink w:anchor="ibbad210ebef44d72885362f35ffda450_28">
              <w:r>
                <w:rPr>
                  <w:rStyle w:val="InternetLink"/>
                  <w:rFonts w:ascii="Roboto;sans-serif" w:hAnsi="Roboto;sans-serif"/>
                  <w:b w:val="false"/>
                  <w:color w:val="000080"/>
                  <w:sz w:val="18"/>
                  <w:u w:val="single"/>
                </w:rPr>
                <w:t xml:space="preserve">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28">
              <w:r>
                <w:rPr>
                  <w:rStyle w:val="InternetLink"/>
                  <w:rFonts w:ascii="Roboto;sans-serif" w:hAnsi="Roboto;sans-serif"/>
                  <w:b w:val="false"/>
                  <w:color w:val="0000FF"/>
                  <w:sz w:val="18"/>
                  <w:u w:val="single"/>
                </w:rPr>
                <w:t>7</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31">
              <w:r>
                <w:rPr>
                  <w:rStyle w:val="InternetLink"/>
                  <w:rFonts w:ascii="Roboto;sans-serif" w:hAnsi="Roboto;sans-serif"/>
                  <w:b w:val="false"/>
                  <w:color w:val="0000FF"/>
                  <w:sz w:val="18"/>
                  <w:u w:val="single"/>
                </w:rPr>
                <w:t>Notes to Condensed Consolidated Financial Statements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31">
              <w:r>
                <w:rPr>
                  <w:rStyle w:val="InternetLink"/>
                  <w:rFonts w:ascii="Roboto;sans-serif" w:hAnsi="Roboto;sans-serif"/>
                  <w:b w:val="false"/>
                  <w:color w:val="0000FF"/>
                  <w:sz w:val="18"/>
                  <w:u w:val="single"/>
                </w:rPr>
                <w:t>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85">
              <w:r>
                <w:rPr>
                  <w:rStyle w:val="InternetLink"/>
                  <w:rFonts w:ascii="Roboto;sans-serif" w:hAnsi="Roboto;sans-serif"/>
                  <w:b w:val="false"/>
                  <w:color w:val="0000FF"/>
                  <w:sz w:val="18"/>
                  <w:u w:val="single"/>
                </w:rPr>
                <w:t>Item 2.</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85">
              <w:r>
                <w:rPr>
                  <w:rStyle w:val="InternetLink"/>
                  <w:rFonts w:ascii="Roboto;sans-serif" w:hAnsi="Roboto;sans-serif"/>
                  <w:b w:val="false"/>
                  <w:color w:val="0000FF"/>
                  <w:sz w:val="18"/>
                  <w:u w:val="single"/>
                </w:rPr>
                <w:t>Management’s Discussion and Analysis of Financial Condition and Results of Operations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85">
              <w:r>
                <w:rPr>
                  <w:rStyle w:val="InternetLink"/>
                  <w:rFonts w:ascii="Roboto;sans-serif" w:hAnsi="Roboto;sans-serif"/>
                  <w:b w:val="false"/>
                  <w:color w:val="0000FF"/>
                  <w:sz w:val="18"/>
                  <w:u w:val="single"/>
                </w:rPr>
                <w:t>22</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18">
              <w:r>
                <w:rPr>
                  <w:rStyle w:val="InternetLink"/>
                  <w:rFonts w:ascii="Roboto;sans-serif" w:hAnsi="Roboto;sans-serif"/>
                  <w:b w:val="false"/>
                  <w:color w:val="0000FF"/>
                  <w:sz w:val="18"/>
                  <w:u w:val="single"/>
                </w:rPr>
                <w:t>Item 3.</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18">
              <w:r>
                <w:rPr>
                  <w:rStyle w:val="InternetLink"/>
                  <w:rFonts w:ascii="Roboto;sans-serif" w:hAnsi="Roboto;sans-serif"/>
                  <w:b w:val="false"/>
                  <w:color w:val="0000FF"/>
                  <w:sz w:val="18"/>
                  <w:u w:val="single"/>
                </w:rPr>
                <w:t>Quantitative and Qualitative Disclosures About Market Risk</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18">
              <w:r>
                <w:rPr>
                  <w:rStyle w:val="InternetLink"/>
                  <w:rFonts w:ascii="Roboto;sans-serif" w:hAnsi="Roboto;sans-serif"/>
                  <w:b w:val="false"/>
                  <w:color w:val="0000FF"/>
                  <w:sz w:val="18"/>
                  <w:u w:val="single"/>
                </w:rPr>
                <w:t>37</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21">
              <w:r>
                <w:rPr>
                  <w:rStyle w:val="InternetLink"/>
                  <w:rFonts w:ascii="Roboto;sans-serif" w:hAnsi="Roboto;sans-serif"/>
                  <w:b w:val="false"/>
                  <w:color w:val="0000FF"/>
                  <w:sz w:val="18"/>
                  <w:u w:val="single"/>
                </w:rPr>
                <w:t>Item 4.</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21">
              <w:r>
                <w:rPr>
                  <w:rStyle w:val="InternetLink"/>
                  <w:rFonts w:ascii="Roboto;sans-serif" w:hAnsi="Roboto;sans-serif"/>
                  <w:b w:val="false"/>
                  <w:color w:val="0000FF"/>
                  <w:sz w:val="18"/>
                  <w:u w:val="single"/>
                </w:rPr>
                <w:t>Controls and Procedures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21">
              <w:r>
                <w:rPr>
                  <w:rStyle w:val="InternetLink"/>
                  <w:rFonts w:ascii="Roboto;sans-serif" w:hAnsi="Roboto;sans-serif"/>
                  <w:b w:val="false"/>
                  <w:color w:val="0000FF"/>
                  <w:sz w:val="18"/>
                  <w:u w:val="single"/>
                </w:rPr>
                <w:t>37</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27">
              <w:r>
                <w:rPr>
                  <w:rStyle w:val="InternetLink"/>
                  <w:rFonts w:ascii="Roboto;sans-serif" w:hAnsi="Roboto;sans-serif"/>
                  <w:b w:val="false"/>
                  <w:color w:val="0000FF"/>
                  <w:sz w:val="18"/>
                  <w:u w:val="single"/>
                </w:rPr>
                <w:t>Item 1.</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27">
              <w:r>
                <w:rPr>
                  <w:rStyle w:val="InternetLink"/>
                  <w:rFonts w:ascii="Roboto;sans-serif" w:hAnsi="Roboto;sans-serif"/>
                  <w:b w:val="false"/>
                  <w:color w:val="0000FF"/>
                  <w:sz w:val="18"/>
                  <w:u w:val="single"/>
                </w:rPr>
                <w:t>Legal Proceedings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27">
              <w:r>
                <w:rPr>
                  <w:rStyle w:val="InternetLink"/>
                  <w:rFonts w:ascii="Roboto;sans-serif" w:hAnsi="Roboto;sans-serif"/>
                  <w:b w:val="false"/>
                  <w:color w:val="0000FF"/>
                  <w:sz w:val="18"/>
                  <w:u w:val="single"/>
                </w:rPr>
                <w:t>38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0">
              <w:r>
                <w:rPr>
                  <w:rStyle w:val="InternetLink"/>
                  <w:rFonts w:ascii="Roboto;sans-serif" w:hAnsi="Roboto;sans-serif"/>
                  <w:b w:val="false"/>
                  <w:color w:val="0000FF"/>
                  <w:sz w:val="18"/>
                  <w:u w:val="single"/>
                </w:rPr>
                <w:t>Item 1A.</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0">
              <w:r>
                <w:rPr>
                  <w:rStyle w:val="InternetLink"/>
                  <w:rFonts w:ascii="Roboto;sans-serif" w:hAnsi="Roboto;sans-serif"/>
                  <w:b w:val="false"/>
                  <w:color w:val="0000FF"/>
                  <w:sz w:val="18"/>
                  <w:u w:val="single"/>
                </w:rPr>
                <w:t>Risk Factors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30">
              <w:r>
                <w:rPr>
                  <w:rStyle w:val="InternetLink"/>
                  <w:rFonts w:ascii="Roboto;sans-serif" w:hAnsi="Roboto;sans-serif"/>
                  <w:b w:val="false"/>
                  <w:color w:val="0000FF"/>
                  <w:sz w:val="18"/>
                  <w:u w:val="single"/>
                </w:rPr>
                <w:t>38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3">
              <w:r>
                <w:rPr>
                  <w:rStyle w:val="InternetLink"/>
                  <w:rFonts w:ascii="Roboto;sans-serif" w:hAnsi="Roboto;sans-serif"/>
                  <w:b w:val="false"/>
                  <w:color w:val="0000FF"/>
                  <w:sz w:val="18"/>
                  <w:u w:val="single"/>
                </w:rPr>
                <w:t>Item 2.</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3">
              <w:r>
                <w:rPr>
                  <w:rStyle w:val="InternetLink"/>
                  <w:rFonts w:ascii="Roboto;sans-serif" w:hAnsi="Roboto;sans-serif"/>
                  <w:b w:val="false"/>
                  <w:color w:val="0000FF"/>
                  <w:sz w:val="18"/>
                  <w:u w:val="single"/>
                </w:rPr>
                <w:t>Unregistered Sales of Equity Securities and Use of Proceeds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33">
              <w:r>
                <w:rPr>
                  <w:rStyle w:val="InternetLink"/>
                  <w:rFonts w:ascii="Roboto;sans-serif" w:hAnsi="Roboto;sans-serif"/>
                  <w:b w:val="false"/>
                  <w:color w:val="0000FF"/>
                  <w:sz w:val="18"/>
                  <w:u w:val="single"/>
                </w:rPr>
                <w:t>38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6">
              <w:r>
                <w:rPr>
                  <w:rStyle w:val="InternetLink"/>
                  <w:rFonts w:ascii="Roboto;sans-serif" w:hAnsi="Roboto;sans-serif"/>
                  <w:b w:val="false"/>
                  <w:color w:val="0000FF"/>
                  <w:sz w:val="18"/>
                  <w:u w:val="single"/>
                </w:rPr>
                <w:t>Item 3.</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6">
              <w:r>
                <w:rPr>
                  <w:rStyle w:val="InternetLink"/>
                  <w:rFonts w:ascii="Roboto;sans-serif" w:hAnsi="Roboto;sans-serif"/>
                  <w:b w:val="false"/>
                  <w:color w:val="0000FF"/>
                  <w:sz w:val="18"/>
                  <w:u w:val="single"/>
                </w:rPr>
                <w:t>Defaults Upon Senior Securities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36">
              <w:r>
                <w:rPr>
                  <w:rStyle w:val="InternetLink"/>
                  <w:rFonts w:ascii="Roboto;sans-serif" w:hAnsi="Roboto;sans-serif"/>
                  <w:b w:val="false"/>
                  <w:color w:val="0000FF"/>
                  <w:sz w:val="18"/>
                  <w:u w:val="single"/>
                </w:rPr>
                <w:t>38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9">
              <w:r>
                <w:rPr>
                  <w:rStyle w:val="InternetLink"/>
                  <w:rFonts w:ascii="Roboto;sans-serif" w:hAnsi="Roboto;sans-serif"/>
                  <w:b w:val="false"/>
                  <w:color w:val="0000FF"/>
                  <w:sz w:val="18"/>
                  <w:u w:val="single"/>
                </w:rPr>
                <w:t>Item 4.</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39">
              <w:r>
                <w:rPr>
                  <w:rStyle w:val="InternetLink"/>
                  <w:rFonts w:ascii="Roboto;sans-serif" w:hAnsi="Roboto;sans-serif"/>
                  <w:b w:val="false"/>
                  <w:color w:val="0000FF"/>
                  <w:sz w:val="18"/>
                  <w:u w:val="single"/>
                </w:rPr>
                <w:t>Mine Safety Disclosures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39">
              <w:r>
                <w:rPr>
                  <w:rStyle w:val="InternetLink"/>
                  <w:rFonts w:ascii="Roboto;sans-serif" w:hAnsi="Roboto;sans-serif"/>
                  <w:b w:val="false"/>
                  <w:color w:val="0000FF"/>
                  <w:sz w:val="18"/>
                  <w:u w:val="single"/>
                </w:rPr>
                <w:t>38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42">
              <w:r>
                <w:rPr>
                  <w:rStyle w:val="InternetLink"/>
                  <w:rFonts w:ascii="Roboto;sans-serif" w:hAnsi="Roboto;sans-serif"/>
                  <w:b w:val="false"/>
                  <w:color w:val="0000FF"/>
                  <w:sz w:val="18"/>
                  <w:u w:val="single"/>
                </w:rPr>
                <w:t>Item 5.</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42">
              <w:r>
                <w:rPr>
                  <w:rStyle w:val="InternetLink"/>
                  <w:rFonts w:ascii="Roboto;sans-serif" w:hAnsi="Roboto;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42">
              <w:r>
                <w:rPr>
                  <w:rStyle w:val="InternetLink"/>
                  <w:rFonts w:ascii="Roboto;sans-serif" w:hAnsi="Roboto;sans-serif"/>
                  <w:b w:val="false"/>
                  <w:color w:val="0000FF"/>
                  <w:sz w:val="18"/>
                  <w:u w:val="single"/>
                </w:rPr>
                <w:t>38</w:t>
              </w:r>
            </w:hyperlink>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48">
              <w:r>
                <w:rPr>
                  <w:rStyle w:val="InternetLink"/>
                  <w:rFonts w:ascii="Roboto;sans-serif" w:hAnsi="Roboto;sans-serif"/>
                  <w:b w:val="false"/>
                  <w:color w:val="0000FF"/>
                  <w:sz w:val="18"/>
                  <w:u w:val="single"/>
                </w:rPr>
                <w:t>Item 6.</w:t>
              </w:r>
            </w:hyperlink>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48">
              <w:r>
                <w:rPr>
                  <w:rStyle w:val="InternetLink"/>
                  <w:rFonts w:ascii="Roboto;sans-serif" w:hAnsi="Roboto;sans-serif"/>
                  <w:b w:val="false"/>
                  <w:color w:val="0000FF"/>
                  <w:sz w:val="18"/>
                  <w:u w:val="single"/>
                </w:rPr>
                <w:t>Exhibits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48">
              <w:r>
                <w:rPr>
                  <w:rStyle w:val="InternetLink"/>
                  <w:rFonts w:ascii="Roboto;sans-serif" w:hAnsi="Roboto;sans-serif"/>
                  <w:b w:val="false"/>
                  <w:color w:val="0000FF"/>
                  <w:sz w:val="18"/>
                  <w:u w:val="single"/>
                </w:rPr>
                <w:t>39</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ad210ebef44d72885362f35ffda450_151">
              <w:r>
                <w:rPr>
                  <w:rStyle w:val="InternetLink"/>
                  <w:rFonts w:ascii="Roboto;sans-serif" w:hAnsi="Roboto;sans-serif"/>
                  <w:b w:val="false"/>
                  <w:color w:val="0000FF"/>
                  <w:sz w:val="18"/>
                  <w:u w:val="single"/>
                </w:rPr>
                <w:t>SIGNATURES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d210ebef44d72885362f35ffda450_151">
              <w:r>
                <w:rPr>
                  <w:rStyle w:val="InternetLink"/>
                  <w:rFonts w:ascii="Roboto;sans-serif" w:hAnsi="Roboto;sans-serif"/>
                  <w:b w:val="false"/>
                  <w:color w:val="0000FF"/>
                  <w:sz w:val="18"/>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and timing of, and the expected benefits from, our restructuring initiatives and cost-saving measures, the cost savings and other efficiencies of expanding relationships with our third-party partners, details regarding and the timing of the launch of new products and services, our initiatives with retailer partners and our efforts to optimize our retail showroom footprint, the prices of our products and services,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successfully execute our business strategy;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achieve and maintain future profitability and positive free cash flow;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maintain subscribers (“Subscribers”);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manage our inventory;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execute and achieve the expected benefits of our restructuring initiatives and other cost-saving measures on our anticipated timeline, and whether our efforts will result in further actions or additional asset impairment charges that adversely affect our business;</w:t>
      </w:r>
    </w:p>
    <w:p>
      <w:pPr>
        <w:pStyle w:val="TextBody"/>
        <w:bidi w:val="0"/>
        <w:spacing w:lineRule="auto" w:line="288" w:before="60" w:after="60"/>
        <w:ind w:left="0" w:right="0" w:hanging="360"/>
        <w:jc w:val="left"/>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and effectively manage the introduction of new or enhanced products and services;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demand for our products and services and growth of the connected fitness and wellness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the value and reputation of the Peloton brand;</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disruptions or failures of our information technology systems, or websites, or those of third parties on whom we rely;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 (as defined below);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lack of control over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predict our long-term performance and changes to our revenue as our business matures;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declines in sales of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the original series (the “Original Series”) Bike+ recall, other product recalls, quality improvement or similar programs, or legal or regulatory claims, proceedings, or investigations involving our products;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seasonality or other fluctuations in our quarterly results;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acquisitions or dispositions and our ability to integrate any such acquired companies into our operations and control environment, including Precor;</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expansion into international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artificial intelligence (“AI”) and our integration of AI into our products, services, and business operations;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our Peloton Apps (as defined below) and their ability to work with a range of mobile and streaming technologies, systems, networks, and standards;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inaccuracies in, or failure to achieve, operational and business metrics, or forecasts of market growth;</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effective internal control over financial reporting and our financial and management systems;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our ability to comply with laws and regulations that currently apply or become applicable to our business, both in the United States and internationally;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changes in global trade policies, including our ability to mitigate the effects of tariffs and other non-tariff restrictions, such as taxes, quotas, local content rules, customs detentions, and other protectionist measures, and our ability to obtain any tariff refunds or rebates;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as well as delivery and installation of our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retain highly skilled personnel and maintain our culture;</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2025, filed with the Securities and Exchange Commission (the “SEC”) on August 7, 2025 (the “Form 10-K”), as such factors may be updated in our filings with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our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“the Company,” and “Peloton” refer to Peloton Interactive, Inc. and its wholly owned subsidiaries, unless the context requires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42"/>
        <w:gridCol w:w="2168"/>
        <w:gridCol w:w="2044"/>
        <w:gridCol w:w="231"/>
        <w:gridCol w:w="911"/>
        <w:gridCol w:w="112"/>
        <w:gridCol w:w="109"/>
        <w:gridCol w:w="109"/>
        <w:gridCol w:w="109"/>
        <w:gridCol w:w="226"/>
        <w:gridCol w:w="886"/>
        <w:gridCol w:w="158"/>
      </w:tblGrid>
      <w:tr>
        <w:trPr/>
        <w:tc>
          <w:tcPr>
            <w:tcW w:w="314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54" w:type="dxa"/>
            <w:gridSpan w:val="3"/>
            <w:vMerge w:val="continue"/>
            <w:tcBorders/>
            <w:tcMar>
              <w:top w:w="0" w:type="dxa"/>
              <w:left w:w="0" w:type="dxa"/>
              <w:bottom w:w="0" w:type="dxa"/>
              <w:right w:w="0" w:type="dxa"/>
            </w:tcMar>
            <w:vAlign w:val="center"/>
          </w:tcPr>
          <w:p>
            <w:pPr>
              <w:pStyle w:val="Normal"/>
              <w:bidi w:val="0"/>
              <w:jc w:val="left"/>
              <w:rPr/>
            </w:pPr>
            <w:r>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7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Property and equipment, net of accumulated depreciation and amortization of $296.1 and $298.3, respectively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of current portion</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shares of Class A common stock authorized, 416,920,442 and 390,579,270 shares of Class A common stock issued and outstanding as of March 31, 2026 and June 30, 2025, respectively; 2,500,000,000 and 2,500,000,000 shares of Class B common stock authorized, 15,836,724 and 15,837,270 shares of Class B common stock issued and outstanding as of March 31, 2026 and June 30, 2025, respectively.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5,343.8 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INCOME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54"/>
        <w:gridCol w:w="813"/>
        <w:gridCol w:w="815"/>
        <w:gridCol w:w="331"/>
        <w:gridCol w:w="1035"/>
        <w:gridCol w:w="119"/>
        <w:gridCol w:w="119"/>
        <w:gridCol w:w="119"/>
        <w:gridCol w:w="119"/>
        <w:gridCol w:w="331"/>
        <w:gridCol w:w="1035"/>
        <w:gridCol w:w="119"/>
        <w:gridCol w:w="109"/>
        <w:gridCol w:w="109"/>
        <w:gridCol w:w="109"/>
        <w:gridCol w:w="331"/>
        <w:gridCol w:w="1035"/>
        <w:gridCol w:w="116"/>
        <w:gridCol w:w="116"/>
        <w:gridCol w:w="116"/>
        <w:gridCol w:w="116"/>
        <w:gridCol w:w="325"/>
        <w:gridCol w:w="1041"/>
        <w:gridCol w:w="173"/>
      </w:tblGrid>
      <w:tr>
        <w:trPr/>
        <w:tc>
          <w:tcPr>
            <w:tcW w:w="155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Income (loss) from operations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Foreign exchange (loss) gain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expense, net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attributable to Class A and Class B common stockholders</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Earnings (loss) per share:</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428,911,447 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421,053,209 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512,261,196 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433,307,598 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 (loss):</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income (loss)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income (loss)</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(153.2)</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02"/>
        <w:gridCol w:w="2236"/>
        <w:gridCol w:w="2242"/>
        <w:gridCol w:w="260"/>
        <w:gridCol w:w="1020"/>
        <w:gridCol w:w="125"/>
        <w:gridCol w:w="125"/>
        <w:gridCol w:w="125"/>
        <w:gridCol w:w="125"/>
        <w:gridCol w:w="260"/>
        <w:gridCol w:w="905"/>
        <w:gridCol w:w="180"/>
      </w:tblGrid>
      <w:tr>
        <w:trPr/>
        <w:tc>
          <w:tcPr>
            <w:tcW w:w="260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income (loss) to Net cash provided by operating activities:</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Business combinations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Peloton Output Park</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investing activities</w:t>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Payment of principal on convertible notes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1085" w:type="dxa"/>
        <w:jc w:val="center"/>
        <w:tblInd w:w="0" w:type="dxa"/>
        <w:tblLayout w:type="fixed"/>
        <w:tblCellMar>
          <w:top w:w="28" w:type="dxa"/>
          <w:left w:w="28" w:type="dxa"/>
          <w:bottom w:w="28" w:type="dxa"/>
          <w:right w:w="28" w:type="dxa"/>
        </w:tblCellMar>
      </w:tblPr>
      <w:tblGrid>
        <w:gridCol w:w="604"/>
        <w:gridCol w:w="530"/>
        <w:gridCol w:w="532"/>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389.9 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(497.2)</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2025</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398.3 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(5,624.2)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(5,627.4)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2026</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432.8 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(5,601.0)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920" w:type="dxa"/>
        <w:jc w:val="center"/>
        <w:tblInd w:w="0" w:type="dxa"/>
        <w:tblLayout w:type="fixed"/>
        <w:tblCellMar>
          <w:top w:w="28" w:type="dxa"/>
          <w:left w:w="28" w:type="dxa"/>
          <w:bottom w:w="28" w:type="dxa"/>
          <w:right w:w="28" w:type="dxa"/>
        </w:tblCellMar>
      </w:tblPr>
      <w:tblGrid>
        <w:gridCol w:w="811"/>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8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(5,483.7)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2025</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398.3 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(5,624.2)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2026</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432.8 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(5,601.0)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Interactive, Inc. (“Peloton” or the “Company”) is a leading global fitness and wellness company that empowers its Members (as defined below) to live fit, strong, long, and happy by providing fitness and wellness products and services they can use anytime, anywhere. Peloton has a highly engaged community of “Members”, which the Company defines as any individual who has a Peloton account through a Paid Connected Fitness Subscription or a Paid App Subscription, inclusive of the Peloton App+, App One, Strength+, and Breathwrk Memberships (the “Peloton Apps”), and engages in one or more workouts in the trailing 12-month period. As a category innovator at the nexus of fitness and wellness, technology, and media, the Company delivers experiences through Peloton’s world-renowned Instructors, premium hardware and innovative software, personalization, and extensive modalities and content formats.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October 2025, the Company launched the Cross Training Series, a refreshed portfolio of Connected Fitness Products, which includes the Cross Training Bike, Bike+, Tread, Tread+, and Row+. The Company also launched the Peloton Pro Series, a refresh of its portfolio of commercial-certified Peloton-branded products, which now includes the Bike+ Pro, Tread+ Pro, and Row+ Pro. In connection with the Cross Training Series launch, the Company discontinued the sale of its original series (the “Original Series”) Tread, Tread+, and Row; however the Company continues to sell the refurbished Original Series Bike and Bike+, as well as various Precor products (collectively with the Cross Training Series and the Peloton Pro Series, the "Connected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is generated primarily from recurring Subscription revenue and the sale of its Connected Fitness Products. The Company defines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App+, App One, Strength+, or Breathwrk subscriptions for which the Company currently receives payment.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2025,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2025 (the "Form 10-K"). However, the Company believes that the disclosures provided herein are adequate to prevent the information presented from being misleading.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Peloton Interactive, Inc. and its subsidiaries in which the Company has a controlling financial interest. All significant intercompany balances and transactions have been eliminated.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opinion of management, the accompanying unaudited interim condensed consolidated financial statements reflect all normal recurring adjustments necessary to present fairly the financial position, results of operations, cash flows, and the changes in stockholders’ deficit for the interim periods. The results for the three and nine months ended March 31, 2026 are not necessarily indicative of the results to be expected for any subsequent quarter, the fiscal year ending June 30, 2026, or any other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6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in conformity with GAAP requires the Company to make estimates and judgments that affect the reported amounts of assets, liabilities, revenue, expenses, and related disclosures. On an ongoing basis, the Company evaluates its estimates, including, but not limited to, those related to product warranty and recall-related provisions, inventory valuation and reserves, revenue recognition and related reserves, music royalty fees, valuation of long-lived assets and their associated useful lives, valuation of goodwill, fair value measurements, stock-based compensation, income taxes, future restructuring charges, and commitments and contingencies. Actual results may differ from these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There have been no material changes to the Company’s significant accounting policies from the Form 10-K for the fiscal year ended June 30, 2025.</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Issued Accounting Pronouncements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Not Yet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2023-09</w:t>
      </w:r>
    </w:p>
    <w:p>
      <w:pPr>
        <w:pStyle w:val="TextBody"/>
        <w:bidi w:val="0"/>
        <w:spacing w:lineRule="auto" w:line="288" w:before="0" w:after="240"/>
        <w:jc w:val="both"/>
        <w:rPr/>
      </w:pPr>
      <w:r>
        <w:rPr>
          <w:rFonts w:ascii="Roboto;sans-serif" w:hAnsi="Roboto;sans-serif"/>
          <w:b w:val="false"/>
          <w:color w:val="000000"/>
          <w:sz w:val="18"/>
        </w:rPr>
        <w:t xml:space="preserve">In December 2023, the Financial Accounting Standards Board (“FASB”) issued ASU 2023-09, </w:t>
      </w:r>
      <w:r>
        <w:rPr>
          <w:rFonts w:ascii="Roboto;sans-serif" w:hAnsi="Roboto;sans-serif"/>
          <w:b w:val="false"/>
          <w:i/>
          <w:color w:val="000000"/>
          <w:sz w:val="18"/>
        </w:rPr>
        <w:t>Income Taxes (Topic 740):</w:t>
      </w:r>
      <w:r>
        <w:rPr>
          <w:color w:val="000000"/>
        </w:rPr>
        <w:t xml:space="preserve"> </w:t>
      </w:r>
      <w:r>
        <w:rPr>
          <w:rFonts w:ascii="Roboto;sans-serif" w:hAnsi="Roboto;sans-serif"/>
          <w:b w:val="false"/>
          <w:i/>
          <w:color w:val="000000"/>
          <w:sz w:val="18"/>
        </w:rPr>
        <w:t xml:space="preserve">Improvements to Income Tax Disclosures. </w:t>
      </w:r>
      <w:r>
        <w:rPr>
          <w:rFonts w:ascii="Roboto;sans-serif" w:hAnsi="Roboto;sans-serif"/>
          <w:b w:val="false"/>
          <w:color w:val="000000"/>
          <w:sz w:val="18"/>
        </w:rPr>
        <w:t>This ASU enhances income tax information primarily through changes in the rate reconciliation and income taxes paid information. It is effective for fiscal years beginning after December 15, 2024, and should be applied on a prospective basis; however, retrospective application is permitted.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2024-03</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2024-03, </w:t>
      </w:r>
      <w:r>
        <w:rPr>
          <w:rFonts w:ascii="Roboto;sans-serif" w:hAnsi="Roboto;sans-serif"/>
          <w:b w:val="false"/>
          <w:i/>
          <w:color w:val="000000"/>
          <w:sz w:val="18"/>
        </w:rPr>
        <w:t xml:space="preserve">Income Statement-Reporting Comprehensive Income-Expense Disaggregation Disclosures (Subtopic 220-40). </w:t>
      </w:r>
      <w:r>
        <w:rPr>
          <w:rFonts w:ascii="Roboto;sans-serif" w:hAnsi="Roboto;sans-serif"/>
          <w:b w:val="false"/>
          <w:color w:val="000000"/>
          <w:sz w:val="18"/>
        </w:rPr>
        <w:t>This ASU requires the disaggregation of certain expense captions on the face of the income statement into specified categories in disclosures within the footnotes to the financial statements. It is effective for fiscal years beginning after December 15, 2026 and for interim periods within fiscal years beginning after December 15, 2027,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2024-04</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2024-04, </w:t>
      </w:r>
      <w:r>
        <w:rPr>
          <w:rFonts w:ascii="Roboto;sans-serif" w:hAnsi="Roboto;sans-serif"/>
          <w:b w:val="false"/>
          <w:i/>
          <w:color w:val="000000"/>
          <w:sz w:val="18"/>
        </w:rPr>
        <w:t xml:space="preserve">Debt—Debt with Conversion and Other Options (Subtopic 470-20): Induced Conversions of Convertible Debt Instruments. </w:t>
      </w:r>
      <w:r>
        <w:rPr>
          <w:rFonts w:ascii="Roboto;sans-serif" w:hAnsi="Roboto;sans-serif"/>
          <w:b w:val="false"/>
          <w:color w:val="000000"/>
          <w:sz w:val="18"/>
        </w:rPr>
        <w:t>This ASU clarifies the requirements for determining whether certain settlements of convertible debt instruments should be accounted for as an induced conversion. It is effective for fiscal years beginning after December 15, 2025 and interim reporting periods within those annual reporting periods,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2025-03</w:t>
      </w:r>
    </w:p>
    <w:p>
      <w:pPr>
        <w:pStyle w:val="TextBody"/>
        <w:bidi w:val="0"/>
        <w:spacing w:lineRule="auto" w:line="288" w:before="0" w:after="240"/>
        <w:jc w:val="both"/>
        <w:rPr/>
      </w:pPr>
      <w:r>
        <w:rPr>
          <w:rFonts w:ascii="Roboto;sans-serif" w:hAnsi="Roboto;sans-serif"/>
          <w:b w:val="false"/>
          <w:color w:val="000000"/>
          <w:sz w:val="18"/>
        </w:rPr>
        <w:t xml:space="preserve">In May 2025, the FASB issued ASU 2025-03, </w:t>
      </w:r>
      <w:r>
        <w:rPr>
          <w:rFonts w:ascii="Roboto;sans-serif" w:hAnsi="Roboto;sans-serif"/>
          <w:b w:val="false"/>
          <w:i/>
          <w:color w:val="000000"/>
          <w:sz w:val="18"/>
        </w:rPr>
        <w:t>Business Combinations (Topic 805) and Consolidation (Topic 810): Determining the Accounting Acquirer in the Acquisition of a Variable Interest Entity</w:t>
      </w:r>
      <w:r>
        <w:rPr>
          <w:rFonts w:ascii="Roboto;sans-serif" w:hAnsi="Roboto;sans-serif"/>
          <w:b w:val="false"/>
          <w:color w:val="000000"/>
          <w:sz w:val="18"/>
        </w:rPr>
        <w:t>. This ASU improves the requirements for identifying the accounting acquirer in a business combination that is effected primarily by exchanging equity interests in which a variable interest entity is acquired. It is effective for fiscal years beginning after December 15, 2026 and interim reporting periods within those annual reporting periods, and is required to be applied prospectively to acquisitions occurring on or after the effective date. The Company will continue to evaluate the impact of this guidance, which will depend on the legal acquiree in future business combinations.</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2025-05</w:t>
      </w:r>
    </w:p>
    <w:p>
      <w:pPr>
        <w:pStyle w:val="TextBody"/>
        <w:bidi w:val="0"/>
        <w:spacing w:lineRule="auto" w:line="288" w:before="0" w:after="240"/>
        <w:jc w:val="both"/>
        <w:rPr/>
      </w:pPr>
      <w:r>
        <w:rPr>
          <w:rFonts w:ascii="Roboto;sans-serif" w:hAnsi="Roboto;sans-serif"/>
          <w:b w:val="false"/>
          <w:color w:val="000000"/>
          <w:sz w:val="18"/>
        </w:rPr>
        <w:t xml:space="preserve">In July 2025, the FASB issued ASU 2025-05, </w:t>
      </w:r>
      <w:r>
        <w:rPr>
          <w:rFonts w:ascii="Roboto;sans-serif" w:hAnsi="Roboto;sans-serif"/>
          <w:b w:val="false"/>
          <w:i/>
          <w:color w:val="000000"/>
          <w:sz w:val="18"/>
        </w:rPr>
        <w:t>Financial Instruments—Credit Losses (Topic 326): Measurement of Credit Losses for Accounts Receivable and Contract Assets</w:t>
      </w:r>
      <w:r>
        <w:rPr>
          <w:rFonts w:ascii="Roboto;sans-serif" w:hAnsi="Roboto;sans-serif"/>
          <w:b w:val="false"/>
          <w:color w:val="000000"/>
          <w:sz w:val="18"/>
        </w:rPr>
        <w:t>. This ASU provides a practical expedient when estimating expected credit losses for current accounts receivable and current contract assets arising from transactions accounted for under Topic 606. It is effective for fiscal years beginning after December 15, 2025 and interim reporting periods within those annual reporting periods, and should be applied prospectively.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2025-06</w:t>
      </w:r>
    </w:p>
    <w:p>
      <w:pPr>
        <w:pStyle w:val="TextBody"/>
        <w:bidi w:val="0"/>
        <w:spacing w:lineRule="auto" w:line="288" w:before="0" w:after="0"/>
        <w:jc w:val="both"/>
        <w:rPr/>
      </w:pPr>
      <w:r>
        <w:rPr>
          <w:rFonts w:ascii="Roboto;sans-serif" w:hAnsi="Roboto;sans-serif"/>
          <w:b w:val="false"/>
          <w:color w:val="000000"/>
          <w:sz w:val="18"/>
        </w:rPr>
        <w:t xml:space="preserve">In September 2025, the FASB issued ASU 2025-06, </w:t>
      </w:r>
      <w:r>
        <w:rPr>
          <w:rFonts w:ascii="Roboto;sans-serif" w:hAnsi="Roboto;sans-serif"/>
          <w:b w:val="false"/>
          <w:i/>
          <w:color w:val="000000"/>
          <w:sz w:val="18"/>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18"/>
        </w:rPr>
        <w:t>to clarify and modernize the accounting for costs related to internal-use software. This ASU is effective for fiscal years beginning after December 15, 2027 and interim reporting periods within those annual reporting periods, and is permitted to be applied using a prospective, modified, or retrospective transition approach. The Company is currently evaluating the impact of adopting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200"/>
        <w:jc w:val="both"/>
        <w:rPr/>
      </w:pPr>
      <w:r>
        <w:rPr>
          <w:rFonts w:ascii="Roboto;sans-serif" w:hAnsi="Roboto;sans-serif"/>
          <w:b w:val="false"/>
          <w:color w:val="000000"/>
          <w:sz w:val="18"/>
        </w:rPr>
        <w:t xml:space="preserve">The Company’s revenue disaggregated by segment, excluding sales-based taxes, is included in </w:t>
      </w:r>
      <w:r>
        <w:rPr>
          <w:rFonts w:ascii="Roboto;sans-serif" w:hAnsi="Roboto;sans-serif"/>
          <w:b w:val="false"/>
          <w:i/>
          <w:color w:val="000000"/>
          <w:sz w:val="18"/>
        </w:rPr>
        <w:t>Note 11, Segment Information</w:t>
      </w:r>
      <w:r>
        <w:rPr>
          <w:rFonts w:ascii="Roboto;sans-serif" w:hAnsi="Roboto;sans-serif"/>
          <w:b w:val="false"/>
          <w:color w:val="000000"/>
          <w:sz w:val="18"/>
        </w:rPr>
        <w:t>. The Company’s revenue disaggregated by geographic region was as follows:</w:t>
      </w:r>
    </w:p>
    <w:tbl>
      <w:tblPr>
        <w:tblW w:w="8239" w:type="dxa"/>
        <w:jc w:val="left"/>
        <w:tblInd w:w="0" w:type="dxa"/>
        <w:tblLayout w:type="fixed"/>
        <w:tblCellMar>
          <w:top w:w="28" w:type="dxa"/>
          <w:left w:w="28" w:type="dxa"/>
          <w:bottom w:w="28" w:type="dxa"/>
          <w:right w:w="28" w:type="dxa"/>
        </w:tblCellMar>
      </w:tblPr>
      <w:tblGrid>
        <w:gridCol w:w="516"/>
        <w:gridCol w:w="453"/>
        <w:gridCol w:w="456"/>
        <w:gridCol w:w="308"/>
        <w:gridCol w:w="963"/>
        <w:gridCol w:w="148"/>
        <w:gridCol w:w="148"/>
        <w:gridCol w:w="148"/>
        <w:gridCol w:w="148"/>
        <w:gridCol w:w="308"/>
        <w:gridCol w:w="963"/>
        <w:gridCol w:w="148"/>
        <w:gridCol w:w="109"/>
        <w:gridCol w:w="109"/>
        <w:gridCol w:w="109"/>
        <w:gridCol w:w="257"/>
        <w:gridCol w:w="1010"/>
        <w:gridCol w:w="124"/>
        <w:gridCol w:w="124"/>
        <w:gridCol w:w="124"/>
        <w:gridCol w:w="124"/>
        <w:gridCol w:w="257"/>
        <w:gridCol w:w="1010"/>
        <w:gridCol w:w="175"/>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North America</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1,658.3 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1,724.6 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2026, the Company’s revenue attributable to the United States, included within North America above, was $548.2 million and $1,589.8 million, respectively, or 87% and 86% of total revenue, respectively. During the three and nine months ended March 31, 2025, the Company’s revenue attributable to the United States, included within North America above, was $549.5 million and $1,657.1 million, respectively, or 88% total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March 31, 2026 and June 30, 2025, deferred revenue of $95.6 million and $91.7 million, respectively, and customer deposits of $55.0 million and $59.0 million, respectively, were included in Deferred revenue and customer deposits on the Company’s Condensed Consolidated Balance Sheets.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nine months ended March 31, 2026 and 2025, the Company recognized revenue of $87.8 million and $90.2 million, respectively, which was included in the deferred revenue balance as of June 30, 2025 and 2024, respectively.</w:t>
      </w:r>
    </w:p>
    <w:p>
      <w:pPr>
        <w:pStyle w:val="TextBody"/>
        <w:bidi w:val="0"/>
        <w:spacing w:lineRule="auto" w:line="288" w:before="0" w:after="240"/>
        <w:jc w:val="both"/>
        <w:rPr/>
      </w:pPr>
      <w:r>
        <w:rPr>
          <w:rFonts w:ascii="Roboto;sans-serif" w:hAnsi="Roboto;sans-serif"/>
          <w:b w:val="false"/>
          <w:color w:val="000000"/>
          <w:sz w:val="18"/>
        </w:rPr>
        <w:t xml:space="preserve">The Company applies the practical expedient as per ASC 606-10-50-14, </w:t>
      </w:r>
      <w:r>
        <w:rPr>
          <w:rFonts w:ascii="Roboto;sans-serif" w:hAnsi="Roboto;sans-serif"/>
          <w:b w:val="false"/>
          <w:i/>
          <w:color w:val="000000"/>
          <w:sz w:val="18"/>
        </w:rPr>
        <w:t>Revenue from Contracts with Customers</w:t>
      </w:r>
      <w:r>
        <w:rPr>
          <w:rFonts w:ascii="Roboto;sans-serif" w:hAnsi="Roboto;sans-serif"/>
          <w:b w:val="false"/>
          <w:color w:val="000000"/>
          <w:sz w:val="18"/>
        </w:rPr>
        <w:t>, and does not disclose information related to remaining performance obligations due to their original expected terms being one year or less.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provides a limited warranty for its Connected Fitness Products, including coverage for the touchscreen and most original components, which warrants that the product will operate in accordance with its published specifications and shall be free from defects in the materials and workmanship under normal use for the relevant warranty period. The Company has the obligation to either repair or replace the defective product, at its option. At the time revenue is recognized for the product,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TextBody"/>
        <w:bidi w:val="0"/>
        <w:spacing w:lineRule="auto" w:line="288" w:before="0" w:after="20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its estimated future product warranty obligation was as follows:</w:t>
      </w:r>
    </w:p>
    <w:tbl>
      <w:tblPr>
        <w:tblW w:w="9712" w:type="dxa"/>
        <w:jc w:val="left"/>
        <w:tblInd w:w="0" w:type="dxa"/>
        <w:tblLayout w:type="fixed"/>
        <w:tblCellMar>
          <w:top w:w="28" w:type="dxa"/>
          <w:left w:w="28" w:type="dxa"/>
          <w:bottom w:w="28" w:type="dxa"/>
          <w:right w:w="28" w:type="dxa"/>
        </w:tblCellMar>
      </w:tblPr>
      <w:tblGrid>
        <w:gridCol w:w="1048"/>
        <w:gridCol w:w="922"/>
        <w:gridCol w:w="925"/>
        <w:gridCol w:w="342"/>
        <w:gridCol w:w="887"/>
        <w:gridCol w:w="165"/>
        <w:gridCol w:w="165"/>
        <w:gridCol w:w="165"/>
        <w:gridCol w:w="165"/>
        <w:gridCol w:w="342"/>
        <w:gridCol w:w="887"/>
        <w:gridCol w:w="165"/>
        <w:gridCol w:w="109"/>
        <w:gridCol w:w="109"/>
        <w:gridCol w:w="109"/>
        <w:gridCol w:w="327"/>
        <w:gridCol w:w="849"/>
        <w:gridCol w:w="158"/>
        <w:gridCol w:w="158"/>
        <w:gridCol w:w="158"/>
        <w:gridCol w:w="158"/>
        <w:gridCol w:w="327"/>
        <w:gridCol w:w="849"/>
        <w:gridCol w:w="223"/>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Extended warranty revenue is recognized ratably over the extended warranty coverage period and is included in Connected Fitness Products Revenue in the Condensed Consolidated Statements of Operations and Comprehensive Income (Loss). The Company’s revenue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extended warranty was $4.0 million and $12.0 million, respectively, representing 1% of total revenue during each of the three and nine months ended March 31, 2026, and $5.1 million and $16.8 million, respectively, representing 1% of total revenue during each of the three and nine months ended March 31, 2025.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Lessor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leases Peloton Bike portfolio products under the Peloton Rental program. Lease revenue is recognized on a straight-line basis over the term of the lease within Connected Fitness Products Revenue and was $6.7 million and $23.6 million for the three and nine months ended March 31, 2026, respectively, and $11.1 million and $35.5 million for the three and nine months ended March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current restructuring efforts began with the implementation of a restructuring plan approved by the Company’s Board of Directors (“Board of Directors”) and announced in 2022, which was subsequently expanded upon and replaced by a new plan approved by the Board of Directors and announced in 2024 (collectively, the “2024 Restructuring Plan”).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August 2025, the Company announced a subsequent restructuring plan (the “2025 Restructuring Plan” and, together with the 2024 Restructuring Plan, the “Restructuring Plans”), which includes a reduction in global headcount and is intended to continue to improve the Company’s cost structure, operating efficiency, and profitability, while providing the opportunity to return to growth by reinvesting savings into Peloton’s differentiating capabilities. The 2024 Restructuring Plan has been substantially completed and any remaining charges or actions under that plan have been incorporated into the 2025 Restructuring Plan. The Company expects the Restructuring Plans to be substantially implemented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2025 Restructuring Plan, the Company estimates that it will incur additional cash restructuring charges of approximately $15.0 million, primarily comprising location strategy costs, lease termination costs, and other exit costs. Additionally, the Company expects to recognize additional non-cash restructuring charges of approximately $5.0 million, primarily comprising asset write-downs and write-offs in connection with the continued exit of the Company’s retail and other leased locations. The Company expects these charges to be substantially incurred by the end of fiscal year 2026, which is subject to change.</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and nine months ended March 31, 2026 and 2025,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As a result of the Restructuring Plans, the Company incurred the charges shown in the following table. Asset write-downs and write-offs are included within Impairment expense, and the remaining charges incurred during the relevant periods are included within Restructuring expense, in the Condensed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1354"/>
        <w:gridCol w:w="1190"/>
        <w:gridCol w:w="1192"/>
        <w:gridCol w:w="360"/>
        <w:gridCol w:w="744"/>
        <w:gridCol w:w="173"/>
        <w:gridCol w:w="173"/>
        <w:gridCol w:w="173"/>
        <w:gridCol w:w="173"/>
        <w:gridCol w:w="360"/>
        <w:gridCol w:w="744"/>
        <w:gridCol w:w="173"/>
        <w:gridCol w:w="109"/>
        <w:gridCol w:w="109"/>
        <w:gridCol w:w="109"/>
        <w:gridCol w:w="312"/>
        <w:gridCol w:w="810"/>
        <w:gridCol w:w="150"/>
        <w:gridCol w:w="150"/>
        <w:gridCol w:w="150"/>
        <w:gridCol w:w="150"/>
        <w:gridCol w:w="312"/>
        <w:gridCol w:w="810"/>
        <w:gridCol w:w="225"/>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Cash restructuring charges:</w:t>
            </w:r>
            <w:r>
              <w:rPr>
                <w:rFonts w:ascii="Roboto;sans-serif" w:hAnsi="Roboto;sans-serif"/>
                <w:b/>
                <w:color w:val="000000"/>
                <w:sz w:val="12"/>
              </w:rPr>
              <w:t>(1)</w:t>
            </w:r>
          </w:p>
        </w:tc>
        <w:tc>
          <w:tcPr>
            <w:tcW w:w="64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Severance and other personnel costs</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Exit and disposal costs and professional fees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restructuring charges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Non-cash restructuring charges:</w:t>
            </w:r>
            <w:r>
              <w:rPr>
                <w:rFonts w:ascii="Roboto;sans-serif" w:hAnsi="Roboto;sans-serif"/>
                <w:b/>
                <w:color w:val="000000"/>
                <w:sz w:val="12"/>
              </w:rPr>
              <w:t>(1)</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write-downs and write-offs</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73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restructuring charges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(1) All cash and non-cash restructuring charges for the three and nine months ended March 31, 2026 related to the 2025 Restructuring Plan. All cash and non-cash restructuring charges for the three and nine months ended March 31, 2025 related to the 2024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presents a roll-forward of cash restructuring-related liabilities, which are included within Accounts payable and accrued expenses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895"/>
        <w:gridCol w:w="786"/>
        <w:gridCol w:w="789"/>
        <w:gridCol w:w="684"/>
        <w:gridCol w:w="1776"/>
        <w:gridCol w:w="331"/>
        <w:gridCol w:w="109"/>
        <w:gridCol w:w="109"/>
        <w:gridCol w:w="109"/>
        <w:gridCol w:w="936"/>
        <w:gridCol w:w="1929"/>
        <w:gridCol w:w="454"/>
        <w:gridCol w:w="109"/>
        <w:gridCol w:w="109"/>
        <w:gridCol w:w="109"/>
        <w:gridCol w:w="226"/>
        <w:gridCol w:w="586"/>
        <w:gridCol w:w="159"/>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2025</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2025</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2026</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(1) All cash restructuring charges for the three months ended March 31, 2026 related to the 2025 Restructuring Plan. All cash restructuring charges for the three months ended March 31, 2025 related to the 2024 Restructuring Plan.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2"/>
        <w:gridCol w:w="668"/>
        <w:gridCol w:w="671"/>
        <w:gridCol w:w="707"/>
        <w:gridCol w:w="1836"/>
        <w:gridCol w:w="342"/>
        <w:gridCol w:w="109"/>
        <w:gridCol w:w="109"/>
        <w:gridCol w:w="109"/>
        <w:gridCol w:w="968"/>
        <w:gridCol w:w="1996"/>
        <w:gridCol w:w="469"/>
        <w:gridCol w:w="109"/>
        <w:gridCol w:w="109"/>
        <w:gridCol w:w="109"/>
        <w:gridCol w:w="226"/>
        <w:gridCol w:w="586"/>
        <w:gridCol w:w="160"/>
      </w:tblGrid>
      <w:tr>
        <w:trPr/>
        <w:tc>
          <w:tcPr>
            <w:tcW w:w="9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2025</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2025</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2026</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(1) All cash restructuring charges for the nine months ended March 31, 2026 related to the 2025 Restructuring Plan. All cash restructuring charges for the nine months ended March 31, 2025 related to the 2024 Restructuring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the estimated fair values and carrying amounts of the Company’s financial instruments that are not recorded at fair value on the Condensed Consolidated Balance Sheets. All of these liabilities’ fair value are considered Level 2:</w:t>
      </w:r>
    </w:p>
    <w:tbl>
      <w:tblPr>
        <w:tblW w:w="10205" w:type="dxa"/>
        <w:jc w:val="left"/>
        <w:tblInd w:w="0" w:type="dxa"/>
        <w:tblLayout w:type="fixed"/>
        <w:tblCellMar>
          <w:top w:w="28" w:type="dxa"/>
          <w:left w:w="28" w:type="dxa"/>
          <w:bottom w:w="28" w:type="dxa"/>
          <w:right w:w="28" w:type="dxa"/>
        </w:tblCellMar>
      </w:tblPr>
      <w:tblGrid>
        <w:gridCol w:w="1161"/>
        <w:gridCol w:w="990"/>
        <w:gridCol w:w="995"/>
        <w:gridCol w:w="332"/>
        <w:gridCol w:w="1302"/>
        <w:gridCol w:w="159"/>
        <w:gridCol w:w="109"/>
        <w:gridCol w:w="109"/>
        <w:gridCol w:w="109"/>
        <w:gridCol w:w="226"/>
        <w:gridCol w:w="886"/>
        <w:gridCol w:w="109"/>
        <w:gridCol w:w="109"/>
        <w:gridCol w:w="109"/>
        <w:gridCol w:w="109"/>
        <w:gridCol w:w="332"/>
        <w:gridCol w:w="1302"/>
        <w:gridCol w:w="159"/>
        <w:gridCol w:w="109"/>
        <w:gridCol w:w="109"/>
        <w:gridCol w:w="109"/>
        <w:gridCol w:w="226"/>
        <w:gridCol w:w="886"/>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0.00% Convertible Senior Notes due 2026</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5.50% Convertible Senior Notes due 2029</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due and payable on May 30, 2029</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1,332.5 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1,818.1 </w:t>
            </w:r>
          </w:p>
        </w:tc>
        <w:tc>
          <w:tcPr>
            <w:tcW w:w="159"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(1) Carrying Amount excludes unamortized debt discount and issuance costs of $19.0 million and $14.1 million, respectively, as of March 31, 2026, and unamortized debt discount and issuance costs of $22.7 million and $17.4 million, respectively,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both"/>
        <w:rPr/>
      </w:pPr>
      <w:r>
        <w:rPr>
          <w:rFonts w:ascii="Roboto;sans-serif" w:hAnsi="Roboto;sans-serif"/>
          <w:b w:val="false"/>
          <w:color w:val="000000"/>
          <w:sz w:val="18"/>
        </w:rPr>
        <w:t xml:space="preserve">The estimated fair value of the 2026 Notes and the estimated fair value of the 2029 Notes (each as defined in </w:t>
      </w:r>
      <w:r>
        <w:rPr>
          <w:rFonts w:ascii="Roboto;sans-serif" w:hAnsi="Roboto;sans-serif"/>
          <w:b w:val="false"/>
          <w:i/>
          <w:color w:val="000000"/>
          <w:sz w:val="18"/>
        </w:rPr>
        <w:t>Note 7, Debt</w:t>
      </w:r>
      <w:r>
        <w:rPr>
          <w:rFonts w:ascii="Roboto;sans-serif" w:hAnsi="Roboto;sans-serif"/>
          <w:b w:val="false"/>
          <w:color w:val="000000"/>
          <w:sz w:val="18"/>
        </w:rPr>
        <w:t>) are determined based on the respective closing prices on the last trading day of the reporting period. The 2026 Notes matured on February 15, 2026, and during the three months ended March 31, 2026, the Company repaid in cash the remaining $199.0 million aggregate principal amount of the 2026 Notes.</w:t>
      </w:r>
    </w:p>
    <w:p>
      <w:pPr>
        <w:pStyle w:val="TextBody"/>
        <w:bidi w:val="0"/>
        <w:spacing w:lineRule="auto" w:line="288" w:before="240" w:after="240"/>
        <w:jc w:val="both"/>
        <w:rPr/>
      </w:pPr>
      <w:r>
        <w:rPr>
          <w:rFonts w:ascii="Roboto;sans-serif" w:hAnsi="Roboto;sans-serif"/>
          <w:b w:val="false"/>
          <w:color w:val="000000"/>
          <w:sz w:val="18"/>
        </w:rPr>
        <w:t xml:space="preserve">The carrying value of the Term Loan (as defined in </w:t>
      </w:r>
      <w:r>
        <w:rPr>
          <w:rFonts w:ascii="Roboto;sans-serif" w:hAnsi="Roboto;sans-serif"/>
          <w:b w:val="false"/>
          <w:i/>
          <w:color w:val="000000"/>
          <w:sz w:val="18"/>
        </w:rPr>
        <w:t>Note 7, Debt</w:t>
      </w:r>
      <w:r>
        <w:rPr>
          <w:rFonts w:ascii="Roboto;sans-serif" w:hAnsi="Roboto;sans-serif"/>
          <w:b w:val="false"/>
          <w:color w:val="000000"/>
          <w:sz w:val="18"/>
        </w:rPr>
        <w:t>) approximates the fair value of the Term Loan as of March 31,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Inventories, net consisted of the following:</w:t>
      </w:r>
    </w:p>
    <w:tbl>
      <w:tblPr>
        <w:tblW w:w="5514" w:type="dxa"/>
        <w:jc w:val="left"/>
        <w:tblInd w:w="0" w:type="dxa"/>
        <w:tblLayout w:type="fixed"/>
        <w:tblCellMar>
          <w:top w:w="28" w:type="dxa"/>
          <w:left w:w="28" w:type="dxa"/>
          <w:bottom w:w="28" w:type="dxa"/>
          <w:right w:w="28" w:type="dxa"/>
        </w:tblCellMar>
      </w:tblPr>
      <w:tblGrid>
        <w:gridCol w:w="732"/>
        <w:gridCol w:w="644"/>
        <w:gridCol w:w="648"/>
        <w:gridCol w:w="358"/>
        <w:gridCol w:w="1119"/>
        <w:gridCol w:w="172"/>
        <w:gridCol w:w="109"/>
        <w:gridCol w:w="109"/>
        <w:gridCol w:w="109"/>
        <w:gridCol w:w="315"/>
        <w:gridCol w:w="985"/>
        <w:gridCol w:w="21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inventories</w:t>
            </w:r>
            <w:r>
              <w:rPr>
                <w:rFonts w:ascii="Roboto;sans-serif" w:hAnsi="Roboto;sans-serif"/>
                <w:b w:val="false"/>
                <w:color w:val="000000"/>
                <w:sz w:val="12"/>
              </w:rPr>
              <w:t>(2)</w:t>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(1) Includes $19.5 million and $40.3 million of finished goods inventory in transit, products owned by the Company that have not yet been received at a Company distribution center, as of March 31, 2026 and June 30, 2025, respectively.</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(2) As of March 31, 2026 and June 30, 2025, there was no work-in-process within inventories.</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March 31, 2026 primarily consisted of $50.9 million related to excess accessories and apparel inventory and $21.6 million related to excess Connected Fitness Products. The Company’s recorded inventory reserves as of June 30, 2025 primarily consisted of $66.8 million related to excess accessories and apparel inventory and $64.9 million related excess returned Connected Fitness Products, including Guide.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7. Debt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2029</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The net proceeds from this offering of 2029 Notes were approximately $342.3 million, after deducting the initial purchasers' discounts and commissions of $7.7 million.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if the last reported sale price per share of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Class A common stock did not exceed 130% of the conversion price of the 2029 Notes for more than 20 trading days during the 30 consecutive trading days, including the last trading day, ended March 31, 2026. Accordingly, as of April 1, 2026, the 2029 Notes may not be converted at the option of the applicable holder through June 30,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or after September 1, 2029, until the close of business on the second scheduled trading day immediately preceding the maturity date, holders may convert all or any portion of their 2029 Notes, in multiples of $1,000 principal amount, at the option of the applicable holder.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Company may satisfy any conversion obligation under the 2029 Notes by paying and/or delivering, as the case may be, cash, shares of Class A common stock, or a combination of cash and shares of Class A common stock, at the Company’s election, in the manner and subject to the terms and conditions provided in the 2029 Notes Indenture.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2029 Notes was 5.97%, which is the effective interest rate as of March 31, 2026.</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The net carrying amount of the 2029 Notes was as follows:</w:t>
      </w:r>
    </w:p>
    <w:tbl>
      <w:tblPr>
        <w:tblW w:w="6610" w:type="dxa"/>
        <w:jc w:val="left"/>
        <w:tblInd w:w="0" w:type="dxa"/>
        <w:tblLayout w:type="fixed"/>
        <w:tblCellMar>
          <w:top w:w="28" w:type="dxa"/>
          <w:left w:w="28" w:type="dxa"/>
          <w:bottom w:w="28" w:type="dxa"/>
          <w:right w:w="28" w:type="dxa"/>
        </w:tblCellMar>
      </w:tblPr>
      <w:tblGrid>
        <w:gridCol w:w="1130"/>
        <w:gridCol w:w="993"/>
        <w:gridCol w:w="997"/>
        <w:gridCol w:w="358"/>
        <w:gridCol w:w="1119"/>
        <w:gridCol w:w="172"/>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2029 Notes:</w:t>
      </w:r>
    </w:p>
    <w:tbl>
      <w:tblPr>
        <w:tblW w:w="10205" w:type="dxa"/>
        <w:jc w:val="left"/>
        <w:tblInd w:w="0" w:type="dxa"/>
        <w:tblLayout w:type="fixed"/>
        <w:tblCellMar>
          <w:top w:w="28" w:type="dxa"/>
          <w:left w:w="28" w:type="dxa"/>
          <w:bottom w:w="28" w:type="dxa"/>
          <w:right w:w="28" w:type="dxa"/>
        </w:tblCellMar>
      </w:tblPr>
      <w:tblGrid>
        <w:gridCol w:w="1492"/>
        <w:gridCol w:w="1309"/>
        <w:gridCol w:w="1315"/>
        <w:gridCol w:w="335"/>
        <w:gridCol w:w="691"/>
        <w:gridCol w:w="161"/>
        <w:gridCol w:w="161"/>
        <w:gridCol w:w="161"/>
        <w:gridCol w:w="161"/>
        <w:gridCol w:w="335"/>
        <w:gridCol w:w="691"/>
        <w:gridCol w:w="161"/>
        <w:gridCol w:w="109"/>
        <w:gridCol w:w="109"/>
        <w:gridCol w:w="109"/>
        <w:gridCol w:w="295"/>
        <w:gridCol w:w="767"/>
        <w:gridCol w:w="142"/>
        <w:gridCol w:w="142"/>
        <w:gridCol w:w="142"/>
        <w:gridCol w:w="142"/>
        <w:gridCol w:w="295"/>
        <w:gridCol w:w="767"/>
        <w:gridCol w:w="213"/>
      </w:tblGrid>
      <w:tr>
        <w:trPr/>
        <w:tc>
          <w:tcPr>
            <w:tcW w:w="14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2029 Notes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2029 Notes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Convertible Notes due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February 2021, the Company issued $1.0 billion aggregate principal amount of 0.00% Convertible Senior Notes due 2026 (the “2026 Notes”) in a private offering, including the exercise in full of the option granted to the initial purchasers to purchase $125.0 million of the 2026 Notes. The 2026 Notes were issued pursuant to an Indenture (the “2026 Notes Indenture”) between the Company and U.S. Bank National Association, as trustee. The net proceeds from the offering were approximately $977.2 million, after deducting the initial purchasers’ discounts and commissions and the Company’s offering expenses. The 2026 Notes did not bear regular interest, and the principal amount of the 2026 Notes did not accrete. The effective interest rate upon issuance of the 2026 Notes was 0.45%.</w:t>
      </w:r>
    </w:p>
    <w:p>
      <w:pPr>
        <w:pStyle w:val="TextBody"/>
        <w:bidi w:val="0"/>
        <w:spacing w:lineRule="auto" w:line="288" w:before="0" w:after="240"/>
        <w:jc w:val="both"/>
        <w:rPr/>
      </w:pPr>
      <w:r>
        <w:rPr>
          <w:rFonts w:ascii="Roboto;sans-serif" w:hAnsi="Roboto;sans-serif"/>
          <w:b w:val="false"/>
          <w:color w:val="000000"/>
          <w:sz w:val="18"/>
        </w:rPr>
        <w:t xml:space="preserve">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Roboto;sans-serif" w:hAnsi="Roboto;sans-serif"/>
          <w:b w:val="false"/>
          <w:i/>
          <w:color w:val="000000"/>
          <w:sz w:val="18"/>
        </w:rPr>
        <w:t>Debt–Modifications and Extinguishments</w:t>
      </w:r>
      <w:r>
        <w:rPr>
          <w:color w:val="000000"/>
        </w:rPr>
        <w:t xml:space="preserve"> </w:t>
      </w:r>
      <w:r>
        <w:rPr>
          <w:rFonts w:ascii="Roboto;sans-serif" w:hAnsi="Roboto;sans-serif"/>
          <w:b w:val="false"/>
          <w:color w:val="000000"/>
          <w:sz w:val="18"/>
        </w:rPr>
        <w:t>(“ASC 470-50”). The Company recorded a $69.8 million gain on early extinguishment of debt during the fiscal year ended June 30, 2024, inclusive of a write-off of previously deferred debt issuance costs of $6.3 million. This amount was included within Net gain on debt refinancing on the Consolidated Statements of Operations and Comprehensive Loss in the Company’s Annual Report on Form 10-K for the fiscal year ended June 30,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2026 Notes matured on February 15, 2026, and during the three months ended March 31, 2026, the Company repaid in cash the remaining $199.0 million aggregate principal amount of the 2026 Notes. As of June 30, 2025, the 2026 Notes were classified as Current portion of debt on the Condensed Consolidated Balance Sheets due to their upcoming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The net carrying amount of the 2026 Notes was as follows:</w:t>
      </w:r>
    </w:p>
    <w:tbl>
      <w:tblPr>
        <w:tblW w:w="6610" w:type="dxa"/>
        <w:jc w:val="left"/>
        <w:tblInd w:w="0" w:type="dxa"/>
        <w:tblLayout w:type="fixed"/>
        <w:tblCellMar>
          <w:top w:w="28" w:type="dxa"/>
          <w:left w:w="28" w:type="dxa"/>
          <w:bottom w:w="28" w:type="dxa"/>
          <w:right w:w="28" w:type="dxa"/>
        </w:tblCellMar>
      </w:tblPr>
      <w:tblGrid>
        <w:gridCol w:w="1129"/>
        <w:gridCol w:w="992"/>
        <w:gridCol w:w="999"/>
        <w:gridCol w:w="358"/>
        <w:gridCol w:w="1119"/>
        <w:gridCol w:w="172"/>
        <w:gridCol w:w="109"/>
        <w:gridCol w:w="109"/>
        <w:gridCol w:w="109"/>
        <w:gridCol w:w="315"/>
        <w:gridCol w:w="985"/>
        <w:gridCol w:w="21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Principal payment</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2026 Notes:</w:t>
      </w:r>
    </w:p>
    <w:tbl>
      <w:tblPr>
        <w:tblW w:w="10205" w:type="dxa"/>
        <w:jc w:val="left"/>
        <w:tblInd w:w="0" w:type="dxa"/>
        <w:tblLayout w:type="fixed"/>
        <w:tblCellMar>
          <w:top w:w="28" w:type="dxa"/>
          <w:left w:w="28" w:type="dxa"/>
          <w:bottom w:w="28" w:type="dxa"/>
          <w:right w:w="28" w:type="dxa"/>
        </w:tblCellMar>
      </w:tblPr>
      <w:tblGrid>
        <w:gridCol w:w="1409"/>
        <w:gridCol w:w="1236"/>
        <w:gridCol w:w="1242"/>
        <w:gridCol w:w="353"/>
        <w:gridCol w:w="730"/>
        <w:gridCol w:w="170"/>
        <w:gridCol w:w="170"/>
        <w:gridCol w:w="170"/>
        <w:gridCol w:w="170"/>
        <w:gridCol w:w="353"/>
        <w:gridCol w:w="730"/>
        <w:gridCol w:w="170"/>
        <w:gridCol w:w="109"/>
        <w:gridCol w:w="109"/>
        <w:gridCol w:w="109"/>
        <w:gridCol w:w="339"/>
        <w:gridCol w:w="701"/>
        <w:gridCol w:w="163"/>
        <w:gridCol w:w="163"/>
        <w:gridCol w:w="163"/>
        <w:gridCol w:w="163"/>
        <w:gridCol w:w="339"/>
        <w:gridCol w:w="701"/>
        <w:gridCol w:w="243"/>
      </w:tblGrid>
      <w:tr>
        <w:trPr/>
        <w:tc>
          <w:tcPr>
            <w:tcW w:w="14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2026 Notes</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60"/>
        <w:jc w:val="both"/>
        <w:rPr>
          <w:rFonts w:ascii="Roboto;sans-serif" w:hAnsi="Roboto;sans-serif"/>
          <w:b/>
          <w:i/>
          <w:color w:val="000000"/>
          <w:sz w:val="18"/>
        </w:rPr>
      </w:pPr>
      <w:r>
        <w:rPr>
          <w:rFonts w:ascii="Roboto;sans-serif" w:hAnsi="Roboto;sans-serif"/>
          <w:b/>
          <w:i/>
          <w:color w:val="000000"/>
          <w:sz w:val="18"/>
        </w:rPr>
        <w:t>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pStyle w:val="TextBody"/>
        <w:bidi w:val="0"/>
        <w:spacing w:lineRule="auto" w:line="288" w:before="0" w:after="240"/>
        <w:jc w:val="both"/>
        <w:rPr/>
      </w:pPr>
      <w:r>
        <w:rPr>
          <w:rFonts w:ascii="Roboto;sans-serif" w:hAnsi="Roboto;sans-serif"/>
          <w:b w:val="false"/>
          <w:color w:val="000000"/>
          <w:sz w:val="18"/>
        </w:rPr>
        <w:t>The Company incurred total commitment fees of $0.1 million and $0.3 million during the three and nine months ended March 31, 2026</w:t>
      </w:r>
      <w:r>
        <w:rPr>
          <w:rFonts w:ascii="Times New Roman;serif" w:hAnsi="Times New Roman;serif"/>
          <w:b w:val="false"/>
          <w:color w:val="000000"/>
          <w:sz w:val="20"/>
        </w:rPr>
        <w:t xml:space="preserve">, </w:t>
      </w:r>
      <w:r>
        <w:rPr>
          <w:rFonts w:ascii="Roboto;sans-serif" w:hAnsi="Roboto;sans-serif"/>
          <w:b w:val="false"/>
          <w:color w:val="000000"/>
          <w:sz w:val="18"/>
        </w:rPr>
        <w:t>respectively, and $0.1 million and $0.4 million during the three and nine months ended March 31, 2025, respectively, which are included in Interest expense in the Condensed Consolidated Statements of Operations and Comprehensive Income (Loss).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March 31, 2026, the Company had drawn the full amount of the Term Loan and had not drawn on the Revolving Facility, and the Company had $982.5 million total outstanding borrowings under the Third Amended and Restated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 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within the Company’s Annual Report on Form 10-K for the fiscal year ended June 30,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March 31, 2026,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March 31, 2026, the Company had outstanding letters of credit totaling $45.6 million, which are classified as Restricted cash on the Condensed Consolidated Balance Sheets.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entering into the Term Loan, the effective interest rate was 12.4% and the current effective interest rate as of March 31, 2026 is 10.2%.</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6611" w:type="dxa"/>
        <w:jc w:val="left"/>
        <w:tblInd w:w="0" w:type="dxa"/>
        <w:tblLayout w:type="fixed"/>
        <w:tblCellMar>
          <w:top w:w="28" w:type="dxa"/>
          <w:left w:w="28" w:type="dxa"/>
          <w:bottom w:w="28" w:type="dxa"/>
          <w:right w:w="28" w:type="dxa"/>
        </w:tblCellMar>
      </w:tblPr>
      <w:tblGrid>
        <w:gridCol w:w="1128"/>
        <w:gridCol w:w="989"/>
        <w:gridCol w:w="1003"/>
        <w:gridCol w:w="305"/>
        <w:gridCol w:w="1198"/>
        <w:gridCol w:w="147"/>
        <w:gridCol w:w="109"/>
        <w:gridCol w:w="109"/>
        <w:gridCol w:w="109"/>
        <w:gridCol w:w="270"/>
        <w:gridCol w:w="1060"/>
        <w:gridCol w:w="18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954.8 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10205" w:type="dxa"/>
        <w:jc w:val="left"/>
        <w:tblInd w:w="0" w:type="dxa"/>
        <w:tblLayout w:type="fixed"/>
        <w:tblCellMar>
          <w:top w:w="28" w:type="dxa"/>
          <w:left w:w="28" w:type="dxa"/>
          <w:bottom w:w="28" w:type="dxa"/>
          <w:right w:w="28" w:type="dxa"/>
        </w:tblCellMar>
      </w:tblPr>
      <w:tblGrid>
        <w:gridCol w:w="1465"/>
        <w:gridCol w:w="1286"/>
        <w:gridCol w:w="1292"/>
        <w:gridCol w:w="305"/>
        <w:gridCol w:w="793"/>
        <w:gridCol w:w="147"/>
        <w:gridCol w:w="147"/>
        <w:gridCol w:w="147"/>
        <w:gridCol w:w="147"/>
        <w:gridCol w:w="305"/>
        <w:gridCol w:w="793"/>
        <w:gridCol w:w="147"/>
        <w:gridCol w:w="109"/>
        <w:gridCol w:w="109"/>
        <w:gridCol w:w="109"/>
        <w:gridCol w:w="295"/>
        <w:gridCol w:w="766"/>
        <w:gridCol w:w="142"/>
        <w:gridCol w:w="142"/>
        <w:gridCol w:w="142"/>
        <w:gridCol w:w="142"/>
        <w:gridCol w:w="295"/>
        <w:gridCol w:w="766"/>
        <w:gridCol w:w="214"/>
      </w:tblGrid>
      <w:tr>
        <w:trPr/>
        <w:tc>
          <w:tcPr>
            <w:tcW w:w="146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Term Loan</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Maturities of Debt Instruments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sets forth maturities of the Company’s debt instruments, including convertible notes payable, gross of debt issuance costs and debt discounts, as of March 31, 2026:</w:t>
      </w:r>
    </w:p>
    <w:tbl>
      <w:tblPr>
        <w:tblW w:w="5744" w:type="dxa"/>
        <w:jc w:val="left"/>
        <w:tblInd w:w="0" w:type="dxa"/>
        <w:tblLayout w:type="fixed"/>
        <w:tblCellMar>
          <w:top w:w="28" w:type="dxa"/>
          <w:left w:w="28" w:type="dxa"/>
          <w:bottom w:w="28" w:type="dxa"/>
          <w:right w:w="28" w:type="dxa"/>
        </w:tblCellMar>
      </w:tblPr>
      <w:tblGrid>
        <w:gridCol w:w="1014"/>
        <w:gridCol w:w="893"/>
        <w:gridCol w:w="897"/>
        <w:gridCol w:w="525"/>
        <w:gridCol w:w="2058"/>
        <w:gridCol w:w="357"/>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2026 (remaining)</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2027</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1,332.5 </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8. Commitments and Contingencies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Music License Agreements</w:t>
      </w:r>
    </w:p>
    <w:p>
      <w:pPr>
        <w:pStyle w:val="TextBody"/>
        <w:bidi w:val="0"/>
        <w:spacing w:lineRule="auto" w:line="288" w:before="0" w:after="200"/>
        <w:jc w:val="both"/>
        <w:rPr/>
      </w:pPr>
      <w:r>
        <w:rPr>
          <w:rFonts w:ascii="Roboto;sans-serif" w:hAnsi="Roboto;sans-serif"/>
          <w:b w:val="false"/>
          <w:color w:val="000000"/>
          <w:sz w:val="18"/>
          <w:shd w:fill="FFFFFF" w:val="clear"/>
        </w:rPr>
        <w:t xml:space="preserve">The Company is subject to minimum royalty payments associated with certain music license agreements. The following represents the Company's guaranteed payments under music license agreements, as of </w:t>
      </w:r>
      <w:r>
        <w:rPr>
          <w:rFonts w:ascii="Roboto;sans-serif" w:hAnsi="Roboto;sans-serif"/>
          <w:b w:val="false"/>
          <w:color w:val="000000"/>
          <w:sz w:val="18"/>
        </w:rPr>
        <w:t>March 31, 2026</w:t>
      </w:r>
      <w:r>
        <w:rPr>
          <w:rFonts w:ascii="Roboto;sans-serif" w:hAnsi="Roboto;sans-serif"/>
          <w:b w:val="false"/>
          <w:color w:val="000000"/>
          <w:sz w:val="18"/>
          <w:shd w:fill="FFFFFF" w:val="clear"/>
        </w:rPr>
        <w:t>:</w:t>
      </w:r>
    </w:p>
    <w:tbl>
      <w:tblPr>
        <w:tblW w:w="5744" w:type="dxa"/>
        <w:jc w:val="left"/>
        <w:tblInd w:w="0" w:type="dxa"/>
        <w:tblLayout w:type="fixed"/>
        <w:tblCellMar>
          <w:top w:w="28" w:type="dxa"/>
          <w:left w:w="28" w:type="dxa"/>
          <w:bottom w:w="28" w:type="dxa"/>
          <w:right w:w="28" w:type="dxa"/>
        </w:tblCellMar>
      </w:tblPr>
      <w:tblGrid>
        <w:gridCol w:w="1014"/>
        <w:gridCol w:w="893"/>
        <w:gridCol w:w="897"/>
        <w:gridCol w:w="610"/>
        <w:gridCol w:w="1911"/>
        <w:gridCol w:w="419"/>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 (remaining)</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122.1 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evaluates, on a regular basis, developments in its legal proceedings and other contingencies that could affect the amount of liability, including amounts in excess of any previous accruals and reasonably possible losses disclosed, and makes adjustments and changes to the Company’s accruals and disclosures, as appropriate. For the matters the Company discloses that do not include an estimate of the amount of loss or range of losses, such an estimate is not possible or is immaterial.</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May 2021, the Company initiated a voluntary recall of its Tread+ product in collaboration with the U.S. Consumer Product Safety Commission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As previously disclosed, the Company was subpoenaed by the U.S. Department of Justice and Department of Homeland Security for documents and other information related to the Company’s statutory obligations, including under the CPSA.</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Action, and the Blackburn Action agreed to a settlement-in-principle to resolve those derivative actions on July 29, 2024, and plaintiffs filed a motion for preliminary approval of that settlement in the EDNY Derivative Action on November 15, 2024, which was granted on April 7, 2025. Following a final approval hearing on June 13, 2025, the court presiding over the EDNY Derivative Action approved the settlement on July 1, 2025 and entered judgment on July 2, 2025. The Blackburn Action was dismissed with prejudice on July 10, 2025. The parties in the Chancery Derivative Action likewise stipulated to dismissal with prejudice, and on February 9, 2026, the court in the Chancery Derivative Action dismissed the case with prejudice.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11, 2023, in collaboration with the CPSC, the Company announced a voluntary recall of the Original Series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 On February 14, 2025, the court issued a memorandum and order granting defendants’ motion to dismiss and dismissing the amended complaint with leave to file a second amended complaint. On April 11, 2025, co-lead plaintiffs filed a second amended complaint asserting similar claims under Sections 10(b) and 20(a) of the Exchange Act, purportedly on behalf of the same proposed class. On May 21, 2025, defendants served a motion to dismiss the second amended complaint. Briefing on defendants’ motion to dismiss the second amended complaint in the 2023 Securities Litigation was completed on July 28, 2025. On March 31, 2026, the court issued a memorandum and order granting defendants’ motion to dismiss and dismissing the second amended complaint with prejudice. On April 30, 2026, plaintiffs filed a notice of appeal with the United States Court of Appeals for the Second Circuit (the “Second Circuit”).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 including that any appeals have been concluded.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Second Circuit and filed their brief in support of their appeal on December 10, 2024. Defendants filed their responsive brief on January 28, 2025. The Second Circuit heard argument on the appeal on April 11, 2025. On August 27, 2025, the Second Circuit affirmed the Order in part, vacated the Order in part, and remanded the action to the district court for further proceedings, including to consider whether plaintiffs have sufficiently alleged other elements of their claims. The mandate to the district court was issued on September 18, 2025. Consistent with the Second Circuit’s decision, the district court dismissed three defendants from the case on September 10, 2025. The remaining defendants filed a renewed motion to dismiss plaintiffs’ claims in full on October 15, 2025. Briefing on defendants’ renewed motion to dismiss the SDNY Class Action was completed on December 10,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the demand for the Company’s products and engaging in improper trading. Allison Manzella, Clark Ovruchesky, Daniel Banks and Karen Florentino are co-lead plaintiffs. The court stayed the action on September 26, 2023 pending final resolution of all motions to dismiss in the SDNY Class Action, including that any appeals have been concluded.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July 8, 2022, NEC Corporation filed suit against the Company in the United States District Court for the District of Delaware, Case No. 1:22-cv-00987, alleging infringement of three patents related to specific content streaming technologies and seeking damages and injunctive relief. On April 8, 2024, the court stayed the case pending the resolution of inter partes review proceedings instituted by the Company against two of the patents-in-suit before the Patent Trial &amp; Appeal Board (“PTAB”) of the United States Patent and Trademark Office. After the PTAB invalidated one of the patents-in-suit, on March 25, 2025, the court lifted the stay and the case proceeded with respect to the remaining two patents-in-suit. On February 13, 2026, the parties filed several motions for summary judgment on liability, as well as Daubert motions to exclude expert theories pertaining to the two patents-in-suit. On April 15, 2026, the court held oral argument on one of the Company’s motions for summary judgment on liability and its Daubert motion to limit NEC’s damages theories. The case is scheduled for trial on July 27, 2026. At this time, the Company cannot estimate the precise amount of any reasonably possible loss, as the estimate would depend on numerous uncertainties, including the court’s rulings on the parties’ pending motions, but it is possible that any such amount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9. Income Taxes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recorded a provision for income taxes of $0.4 million and $0.9 million for the three and nine months ended March 31, 2026, respectively, and a provision of $0.8 million and $2.3 million for the three and nine months ended March 31, 2025 respectively. Furthermore, the Company's effective tax rates were 1.49% and 36.00% for the three and nine months ended March 31, 2026, respectively, and (1.71)% and (1.66)% for the three and nine months ended March 31, 2025, respectively. The income tax provision and the effective tax rate are primarily driven by state and international taxes.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pStyle w:val="TextBody"/>
        <w:bidi w:val="0"/>
        <w:spacing w:lineRule="auto" w:line="417" w:before="240" w:after="283"/>
        <w:jc w:val="both"/>
        <w:rPr>
          <w:rFonts w:ascii="Roboto;sans-serif" w:hAnsi="Roboto;sans-serif"/>
          <w:b/>
          <w:i/>
          <w:color w:val="050505"/>
          <w:sz w:val="18"/>
        </w:rPr>
      </w:pPr>
      <w:r>
        <w:rPr>
          <w:rFonts w:ascii="Roboto;sans-serif" w:hAnsi="Roboto;sans-serif"/>
          <w:b/>
          <w:i/>
          <w:color w:val="050505"/>
          <w:sz w:val="18"/>
        </w:rPr>
        <w:t>One Big Beautiful Bill Act</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On July 4, 2025, the One Big Beautiful Bill Act (“OBBBA”) was signed into law in the United States, which made permanent or extended many of the provisions from the Tax Cuts and Jobs Act of 2017. The immediate expensing of domestic research and experimental expenditures for tax years beginning after December 31, 2024 is now permanent, as is 100% bonus depreciation for qualified property acquired and placed in service after January 19, 2025. The bill permanently reinstates the more favorable EBITDA approach for calculating the business interest deduction limitation under Section 163(j), among implementing other changes. The Company has accounted for the provisions of the OBBBA in its condensed consolidated financial statements. The changes are not expected to affect the Company’s U.S. net deferred tax assets or liabilities, as the Company continues to maintain a full valuation allowance against those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 xml:space="preserve">10. Earnings (Loss) Per Share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Basic earnings (loss) per share is computed by dividing net income (loss) by the weighted-average number of outstanding shares of common stock during the period. Diluted earnings (loss) per share is computed using the treasury stock method for stock-based awards, and the if-converted method for convertible senior notes. Under the treasury stock method, the denominator is adjusted to include, when dilutive, incremental shares issuable upon the assumed exercise of stock options, ESPP shares to be issued, and vesting of service-based and performance-based restricted stock units. Under the if-converted method, the numerator is adjusted to add back interest expense on the convertible senior notes, net of tax, and the denominator is adjusted to include incremental shares issuable upon conversion of the convertible senior notes, when the effect of applying this method is dilutive. Basic and diluted earnings (loss) per share are the same for each class of common stock because they are entitled to the same liquidation and dividend rights.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computation of basic and diluted earnings (loss) per share is as follows:</w:t>
      </w:r>
    </w:p>
    <w:tbl>
      <w:tblPr>
        <w:tblW w:w="10205" w:type="dxa"/>
        <w:jc w:val="left"/>
        <w:tblInd w:w="0" w:type="dxa"/>
        <w:tblLayout w:type="fixed"/>
        <w:tblCellMar>
          <w:top w:w="28" w:type="dxa"/>
          <w:left w:w="28" w:type="dxa"/>
          <w:bottom w:w="28" w:type="dxa"/>
          <w:right w:w="28" w:type="dxa"/>
        </w:tblCellMar>
      </w:tblPr>
      <w:tblGrid>
        <w:gridCol w:w="1447"/>
        <w:gridCol w:w="827"/>
        <w:gridCol w:w="830"/>
        <w:gridCol w:w="380"/>
        <w:gridCol w:w="986"/>
        <w:gridCol w:w="124"/>
        <w:gridCol w:w="124"/>
        <w:gridCol w:w="124"/>
        <w:gridCol w:w="124"/>
        <w:gridCol w:w="373"/>
        <w:gridCol w:w="993"/>
        <w:gridCol w:w="124"/>
        <w:gridCol w:w="109"/>
        <w:gridCol w:w="109"/>
        <w:gridCol w:w="109"/>
        <w:gridCol w:w="446"/>
        <w:gridCol w:w="920"/>
        <w:gridCol w:w="122"/>
        <w:gridCol w:w="122"/>
        <w:gridCol w:w="122"/>
        <w:gridCol w:w="122"/>
        <w:gridCol w:w="314"/>
        <w:gridCol w:w="1070"/>
        <w:gridCol w:w="184"/>
      </w:tblGrid>
      <w:tr>
        <w:trPr/>
        <w:tc>
          <w:tcPr>
            <w:tcW w:w="144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 except share and per share amounts)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Basic earnings (loss) per share:</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Numerator:</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Denominator:</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 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428,911,447 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421,053,209 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Earnings (loss) per share, basic</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Diluted earnings (loss) per share:</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Numerator:</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Interest expense on convertible senior notes, net of tax</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attributable to common stockholders, diluted</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 basic</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428,911,447 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421,053,209 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effect of dilutive securities:</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awards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6,897,149 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12,254,389 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76,452,600 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 average common shares outstanding, diluted</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512,261,196 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433,307,598 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Earnings (loss) per share, diluted</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(0.12)</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March 31, 2026 and 2025, 46.6 million and 95.5 million potentially dilutive stock-based awards, calculated as the total outstanding shares as of those period ends, were excluded from the computation of diluted earnings (loss) per share. No shares issuable upon conversion of the convertible senior notes were excluded from the computation of diluted earnings per share as of March 31, 2026. Additionally, 77.3 million of potentially dilutive shares related to convertible senior notes, calculated under the if-converted method, were excluded from the computation of diluted loss per share as of March 31, 2025. This amount was excluded as it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11. Segment Information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has two reportable segments: Connected Fitness Products and Subscription. The Connected Fitness Products segment primarily derives revenue from the sale of the Company's portfolio of Connected Fitness Products and related accessories, including Precor-branded fitness products, delivery and installation services, Peloton Bike portfolio rental products, extended warranty agreements, branded apparel, and commercial service contracts. The Subscription segment primarily derives revenue from monthly Subscription fees. There are no internal revenue transactions between the Company’s segments. Segment information is presented in the same manner that the chief operating decision maker ("CODM"), the Chief Executive Officer and President, reviews the operating results in assessing performance and allocating resources. No operating segments have been aggregated to form the reportable segments.</w:t>
      </w:r>
    </w:p>
    <w:p>
      <w:pPr>
        <w:pStyle w:val="TextBody"/>
        <w:bidi w:val="0"/>
        <w:spacing w:lineRule="auto" w:line="288" w:before="0" w:after="240"/>
        <w:jc w:val="both"/>
        <w:rPr/>
      </w:pPr>
      <w:r>
        <w:rPr>
          <w:rFonts w:ascii="Roboto;sans-serif" w:hAnsi="Roboto;sans-serif"/>
          <w:b w:val="false"/>
          <w:color w:val="000000"/>
          <w:sz w:val="18"/>
        </w:rPr>
        <w:t xml:space="preserve">Beginning in the first quarter of fiscal 2026, the Company changed its measure of segment profitability to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to better align with the manner in which the CODM evaluates segment performance and makes resource allocation decisions. Segment results for the comparable prior period have been recast to reflect these changes. </w:t>
      </w:r>
    </w:p>
    <w:p>
      <w:pPr>
        <w:pStyle w:val="TextBody"/>
        <w:bidi w:val="0"/>
        <w:spacing w:lineRule="auto" w:line="288" w:before="0" w:after="0"/>
        <w:jc w:val="both"/>
        <w:rPr/>
      </w:pP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is defined as Revenue less Adjusted Cost of revenue incurred by the segment. Adjusted Cost of revenue includes costs directly related to the function of each segment, including certain corporate overhead costs, such as a portion of depreciation, rent and occupancy charges related to the Company’s corporate facilities, and personnel-related expenses for certain executives and departments (“Allocated overhead costs”).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CODM reviews Revenue and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for both of the reportable segments, primarily by monitoring actual results compared to forecasted results as well as by reviewing year-over-year results and trending historical performance. No other significant expense categories or performance metrics are regularly provided to the CODM on a disaggregated basis. The Company does not allocate assets at the reportable segment level as these are managed on an entity wide group basis and, accordingly, the Company does not report asset information by segment. </w:t>
      </w:r>
    </w:p>
    <w:p>
      <w:pPr>
        <w:pStyle w:val="TextBody"/>
        <w:bidi w:val="0"/>
        <w:spacing w:before="0" w:after="0"/>
        <w:jc w:val="both"/>
        <w:rPr/>
      </w:pPr>
      <w:r>
        <w:rPr/>
      </w:r>
    </w:p>
    <w:p>
      <w:pPr>
        <w:pStyle w:val="TextBody"/>
        <w:bidi w:val="0"/>
        <w:spacing w:lineRule="auto" w:line="288" w:before="0" w:after="200"/>
        <w:jc w:val="both"/>
        <w:rPr/>
      </w:pPr>
      <w:r>
        <w:rPr>
          <w:rFonts w:ascii="Roboto;sans-serif" w:hAnsi="Roboto;sans-serif"/>
          <w:b w:val="false"/>
          <w:color w:val="000000"/>
          <w:sz w:val="18"/>
        </w:rPr>
        <w:t>Information on reportable segments and reconciliation to consolidated Income (loss) before income taxes</w:t>
      </w:r>
      <w:r>
        <w:rPr>
          <w:color w:val="000000"/>
          <w:shd w:fill="FFFFFF" w:val="clear"/>
        </w:rPr>
        <w:t xml:space="preserve"> </w:t>
      </w:r>
      <w:r>
        <w:rPr>
          <w:rFonts w:ascii="Roboto;sans-serif" w:hAnsi="Roboto;sans-serif"/>
          <w:b w:val="false"/>
          <w:color w:val="000000"/>
          <w:sz w:val="18"/>
          <w:shd w:fill="FFFFFF" w:val="clear"/>
        </w:rPr>
        <w:t>is as follows:</w:t>
      </w:r>
    </w:p>
    <w:tbl>
      <w:tblPr>
        <w:tblW w:w="10592" w:type="dxa"/>
        <w:jc w:val="left"/>
        <w:tblInd w:w="0" w:type="dxa"/>
        <w:tblLayout w:type="fixed"/>
        <w:tblCellMar>
          <w:top w:w="28" w:type="dxa"/>
          <w:left w:w="28" w:type="dxa"/>
          <w:bottom w:w="28" w:type="dxa"/>
          <w:right w:w="28" w:type="dxa"/>
        </w:tblCellMar>
      </w:tblPr>
      <w:tblGrid>
        <w:gridCol w:w="573"/>
        <w:gridCol w:w="425"/>
        <w:gridCol w:w="428"/>
        <w:gridCol w:w="260"/>
        <w:gridCol w:w="814"/>
        <w:gridCol w:w="127"/>
        <w:gridCol w:w="109"/>
        <w:gridCol w:w="109"/>
        <w:gridCol w:w="109"/>
        <w:gridCol w:w="306"/>
        <w:gridCol w:w="956"/>
        <w:gridCol w:w="149"/>
        <w:gridCol w:w="109"/>
        <w:gridCol w:w="109"/>
        <w:gridCol w:w="109"/>
        <w:gridCol w:w="226"/>
        <w:gridCol w:w="706"/>
        <w:gridCol w:w="109"/>
        <w:gridCol w:w="109"/>
        <w:gridCol w:w="109"/>
        <w:gridCol w:w="109"/>
        <w:gridCol w:w="260"/>
        <w:gridCol w:w="814"/>
        <w:gridCol w:w="127"/>
        <w:gridCol w:w="109"/>
        <w:gridCol w:w="109"/>
        <w:gridCol w:w="109"/>
        <w:gridCol w:w="261"/>
        <w:gridCol w:w="1023"/>
        <w:gridCol w:w="127"/>
        <w:gridCol w:w="109"/>
        <w:gridCol w:w="109"/>
        <w:gridCol w:w="109"/>
        <w:gridCol w:w="226"/>
        <w:gridCol w:w="88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 2026</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Revenue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Consolidated Revenue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Less: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Adjusted Cost of revenue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Segment Adjusted Gross profit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income before income taxes: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Sales and marketing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General and administrative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Research and development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Impairment expense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Restructuring expense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before income taxes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tbl>
      <w:tblPr>
        <w:tblW w:w="10577" w:type="dxa"/>
        <w:jc w:val="left"/>
        <w:tblInd w:w="0" w:type="dxa"/>
        <w:tblLayout w:type="fixed"/>
        <w:tblCellMar>
          <w:top w:w="28" w:type="dxa"/>
          <w:left w:w="28" w:type="dxa"/>
          <w:bottom w:w="28" w:type="dxa"/>
          <w:right w:w="28" w:type="dxa"/>
        </w:tblCellMar>
      </w:tblPr>
      <w:tblGrid>
        <w:gridCol w:w="596"/>
        <w:gridCol w:w="406"/>
        <w:gridCol w:w="409"/>
        <w:gridCol w:w="260"/>
        <w:gridCol w:w="814"/>
        <w:gridCol w:w="127"/>
        <w:gridCol w:w="109"/>
        <w:gridCol w:w="109"/>
        <w:gridCol w:w="109"/>
        <w:gridCol w:w="306"/>
        <w:gridCol w:w="956"/>
        <w:gridCol w:w="149"/>
        <w:gridCol w:w="109"/>
        <w:gridCol w:w="109"/>
        <w:gridCol w:w="109"/>
        <w:gridCol w:w="226"/>
        <w:gridCol w:w="706"/>
        <w:gridCol w:w="109"/>
        <w:gridCol w:w="109"/>
        <w:gridCol w:w="109"/>
        <w:gridCol w:w="109"/>
        <w:gridCol w:w="260"/>
        <w:gridCol w:w="814"/>
        <w:gridCol w:w="127"/>
        <w:gridCol w:w="109"/>
        <w:gridCol w:w="109"/>
        <w:gridCol w:w="109"/>
        <w:gridCol w:w="261"/>
        <w:gridCol w:w="1023"/>
        <w:gridCol w:w="127"/>
        <w:gridCol w:w="109"/>
        <w:gridCol w:w="109"/>
        <w:gridCol w:w="109"/>
        <w:gridCol w:w="226"/>
        <w:gridCol w:w="88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 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Revenue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Cost of revenue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Segment Adjusted Gross profit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284.4 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loss before income taxes: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Allocated overhead costs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2025, filed with the SEC on August 7, 2025 (“Form 10-K”). As discussed in the section titled "Special Note Regarding Forward-Looking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88" w:before="0" w:after="240"/>
        <w:jc w:val="both"/>
        <w:rPr/>
      </w:pPr>
      <w:r>
        <w:rPr>
          <w:rFonts w:ascii="Roboto;sans-serif" w:hAnsi="Roboto;sans-serif"/>
          <w:b w:val="false"/>
          <w:color w:val="050505"/>
          <w:sz w:val="18"/>
          <w:shd w:fill="FFFFFF" w:val="clear"/>
        </w:rPr>
        <w:t>Peloton is a leading global fitness and wellness company</w:t>
      </w:r>
      <w:r>
        <w:rPr>
          <w:color w:val="000000"/>
        </w:rPr>
        <w:t xml:space="preserve"> </w:t>
      </w:r>
      <w:r>
        <w:rPr>
          <w:rFonts w:ascii="Roboto;sans-serif" w:hAnsi="Roboto;sans-serif"/>
          <w:b w:val="false"/>
          <w:color w:val="000000"/>
          <w:sz w:val="18"/>
        </w:rPr>
        <w:t>that empowers its Members (as defined below) to live fit, strong, long, and happy by providing fitness and wellness products and services they can use anytime, anywhere. We have</w:t>
      </w:r>
      <w:r>
        <w:rPr>
          <w:color w:val="050505"/>
          <w:shd w:fill="FFFFFF" w:val="clear"/>
        </w:rPr>
        <w:t xml:space="preserve"> </w:t>
      </w:r>
      <w:r>
        <w:rPr>
          <w:rFonts w:ascii="Roboto;sans-serif" w:hAnsi="Roboto;sans-serif"/>
          <w:b w:val="false"/>
          <w:color w:val="050505"/>
          <w:sz w:val="18"/>
          <w:shd w:fill="FFFFFF" w:val="clear"/>
        </w:rPr>
        <w:t>a highly engaged community of nearly</w:t>
      </w:r>
      <w:r>
        <w:rPr>
          <w:color w:val="050505"/>
        </w:rPr>
        <w:t xml:space="preserve"> </w:t>
      </w:r>
      <w:r>
        <w:rPr>
          <w:rFonts w:ascii="Roboto;sans-serif" w:hAnsi="Roboto;sans-serif"/>
          <w:b w:val="false"/>
          <w:color w:val="050505"/>
          <w:sz w:val="18"/>
        </w:rPr>
        <w:t>5.8 million Members</w:t>
      </w:r>
      <w:r>
        <w:rPr>
          <w:color w:val="050505"/>
          <w:shd w:fill="FFFFFF" w:val="clear"/>
        </w:rPr>
        <w:t xml:space="preserve"> </w:t>
      </w:r>
      <w:r>
        <w:rPr>
          <w:rFonts w:ascii="Roboto;sans-serif" w:hAnsi="Roboto;sans-serif"/>
          <w:b w:val="false"/>
          <w:color w:val="050505"/>
          <w:sz w:val="18"/>
          <w:shd w:fill="FFFFFF" w:val="clear"/>
        </w:rPr>
        <w:t>as of March 31, 2026</w:t>
      </w:r>
      <w:r>
        <w:rPr>
          <w:rFonts w:ascii="Roboto;sans-serif" w:hAnsi="Roboto;sans-serif"/>
          <w:b w:val="false"/>
          <w:color w:val="050505"/>
          <w:sz w:val="18"/>
        </w:rPr>
        <w:t>, across the United States, United Kingdom, Canada, Germany, Australia, and Austria</w:t>
      </w:r>
      <w:r>
        <w:rPr>
          <w:rFonts w:ascii="Roboto;sans-serif" w:hAnsi="Roboto;sans-serif"/>
          <w:b w:val="false"/>
          <w:color w:val="050505"/>
          <w:sz w:val="18"/>
          <w:shd w:fill="FFFFFF" w:val="clear"/>
        </w:rPr>
        <w:t xml:space="preserve">. As a category innovator at the nexus of fitness and wellness, technology, and media, </w:t>
      </w:r>
      <w:r>
        <w:rPr>
          <w:rFonts w:ascii="Roboto;sans-serif" w:hAnsi="Roboto;sans-serif"/>
          <w:b w:val="false"/>
          <w:color w:val="050505"/>
          <w:sz w:val="18"/>
        </w:rPr>
        <w:t>we deliver experiences through our world-renowned Instructors, premium hardware and innovative software, personalization, and extensive modalities and content formats. Founded in 2012 and headquartered in New York City, Peloton aims to scale across the markets in which it operates.</w:t>
      </w:r>
    </w:p>
    <w:p>
      <w:pPr>
        <w:pStyle w:val="TextBody"/>
        <w:bidi w:val="0"/>
        <w:spacing w:lineRule="auto" w:line="288" w:before="0" w:after="240"/>
        <w:jc w:val="both"/>
        <w:rPr/>
      </w:pPr>
      <w:r>
        <w:rPr>
          <w:rFonts w:ascii="Roboto;sans-serif" w:hAnsi="Roboto;sans-serif"/>
          <w:b w:val="false"/>
          <w:color w:val="000000"/>
          <w:sz w:val="18"/>
        </w:rPr>
        <w:t xml:space="preserve">We define a “Member” as any individual who has a Peloton account through a Paid Connected Fitness Subscription or a Paid App Subscription, inclusive of the Peloton App+, App One, Strength+, and Breathwrk Memberships (our “Peloton Apps”), and engages in one or more workouts in the trailing 12-month period. We define workout engagement as either (i) completing the lesser of 50% or 10 minutes of Instructor-led classes, Scenic, and Lanebreak workouts; (ii) at least 10 minutes of any activity tracking workout (such as “Just Ride”, “Just Run”, or “Just Row”) or Entertainment workout; (iii) </w:t>
      </w:r>
      <w:r>
        <w:rPr>
          <w:rFonts w:ascii="Roboto;sans-serif" w:hAnsi="Roboto;sans-serif"/>
          <w:b w:val="false"/>
          <w:color w:val="050505"/>
          <w:sz w:val="18"/>
        </w:rPr>
        <w:t>at least 5 minutes of any</w:t>
      </w:r>
      <w:r>
        <w:rPr>
          <w:color w:val="000000"/>
        </w:rPr>
        <w:t xml:space="preserve"> </w:t>
      </w:r>
      <w:r>
        <w:rPr>
          <w:rFonts w:ascii="Roboto;sans-serif" w:hAnsi="Roboto;sans-serif"/>
          <w:b w:val="false"/>
          <w:color w:val="000000"/>
          <w:sz w:val="18"/>
        </w:rPr>
        <w:t xml:space="preserve">Strength+ workout </w:t>
      </w:r>
      <w:r>
        <w:rPr>
          <w:rFonts w:ascii="Roboto;sans-serif" w:hAnsi="Roboto;sans-serif"/>
          <w:b w:val="false"/>
          <w:color w:val="050505"/>
          <w:sz w:val="18"/>
        </w:rPr>
        <w:t>with 80% of sets marked complete; or (iv) completing a Breathwrk class.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October 2025, we launched the Cross Training Series, a refreshed portfolio of Connected Fitness Products, which includes the Cross Training Bike, Bike+, Tread, Tread+, and Row+. We also launched the Peloton Pro Series, a refresh of our portfolio of commercial-certified Peloton-branded products, which now includes the Bike+ Pro, Tread+ Pro, and Row+ Pro. In connection with the Cross Training Series launch, we discontinued the sale of our original series (the “Original Series”) Tread, Tread+, and Row; however we continue to sell the refurbished Original Series Bike and Bike+, as well as our Precor products (collectively with the Cross Training Series and the Peloton Pro Series, the "Connected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Access to all of the Peloton Apps is available with an All-Access Membership for Members who have Connected Fitness Products or through a standalone App+ Membership. Our revenue is generated primarily from recurring Subscription Revenue and the sale of our Connected Fitness Products. 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w:t>
      </w:r>
    </w:p>
    <w:p>
      <w:pPr>
        <w:pStyle w:val="TextBody"/>
        <w:bidi w:val="0"/>
        <w:spacing w:lineRule="auto" w:line="288" w:before="0" w:after="240"/>
        <w:jc w:val="both"/>
        <w:rPr/>
      </w:pPr>
      <w:r>
        <w:rPr>
          <w:rFonts w:ascii="Roboto;sans-serif" w:hAnsi="Roboto;sans-serif"/>
          <w:b w:val="false"/>
          <w:color w:val="050505"/>
          <w:sz w:val="18"/>
        </w:rPr>
        <w:t>Our financial profile has been characterized by strong retention, recurring revenue, and efficient customer acquisition. We believe that o</w:t>
      </w:r>
      <w:r>
        <w:rPr>
          <w:rFonts w:ascii="Roboto;sans-serif" w:hAnsi="Roboto;sans-serif"/>
          <w:b w:val="false"/>
          <w:color w:val="050505"/>
          <w:sz w:val="18"/>
          <w:shd w:fill="FFFFFF" w:val="clear"/>
        </w:rPr>
        <w:t xml:space="preserve">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w:t>
      </w:r>
      <w:r>
        <w:rPr>
          <w:rFonts w:ascii="Roboto;sans-serif" w:hAnsi="Roboto;sans-serif"/>
          <w:b w:val="false"/>
          <w:color w:val="050505"/>
          <w:sz w:val="18"/>
        </w:rPr>
        <w:t>an attractive LTV/CAC ratio is a primary goal of our customer acquisition strategy.</w:t>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Restructuring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August 2025, we announced a restructuring plan (the “2025 Restructuring Plan”), which includes a reduction in global headcount and is intended to continue to improve our cost structure, operating efficiency, and profitability, while providing us the opportunity to return to growth by reinvesting expected savings into our differentiating capabilities. We expect the 2025 Restructuring Plan to be substantially implemented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2025 Restructuring Plan, we estimate that we will incur additional cash restructuring charges of approximately $15.0 million, primarily comprising location strategy costs, lease termination costs, and other exit costs. Additionally, we expect to recognize additional non-cash restructuring charges of approximately $5.0 million, primarily comprising asset write-downs and write-offs in connection with the continued exit of our retail and other leased locations. We expect these charges to be substantially incurred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Upon full implementation, we expect the 2025 Restructuring Plan to achieve at least $100.0 million of run-rate savings by the end of fiscal year 2026. </w:t>
      </w:r>
    </w:p>
    <w:p>
      <w:pPr>
        <w:pStyle w:val="TextBody"/>
        <w:bidi w:val="0"/>
        <w:spacing w:lineRule="auto" w:line="288" w:before="0" w:after="240"/>
        <w:jc w:val="both"/>
        <w:rPr/>
      </w:pPr>
      <w:r>
        <w:rPr>
          <w:rFonts w:ascii="Roboto;sans-serif" w:hAnsi="Roboto;sans-serif"/>
          <w:b w:val="false"/>
          <w:color w:val="000000"/>
          <w:sz w:val="18"/>
        </w:rPr>
        <w:t>We may not be able to realize the cost savings and benefits initially anticipated as a result of the Restructuring Plans, and implementation and transition costs may be greater than expected. See “</w:t>
      </w:r>
      <w:r>
        <w:rPr>
          <w:rFonts w:ascii="Roboto;sans-serif" w:hAnsi="Roboto;sans-serif"/>
          <w:b w:val="false"/>
          <w:i/>
          <w:color w:val="000000"/>
          <w:sz w:val="18"/>
        </w:rPr>
        <w:t>Risk Factors — Risks Related to Our Business — 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the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Global Trade Policies and Tariffs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certain tariffs are ultimately implemented, the timing of implementation, and the amount, scope and nature of the tariffs.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February 20, 2026, the U.S. Supreme Court issued a decision invalidating tariffs imposed under the International Emergency Economic Power Act ("IEEPA"). We are closely monitoring updates from U.S. Customs and Border Protection (“CBP”), and are positioned to submit our IEEPA tariff refund claim as soon as CBP is ready to accept such refund claims. We will continue to evaluate new information and will recognize any IEEPA tariff refunds or related receivables when they are realized or realizable.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While IEEPA tariffs are no longer effective, we are now currently subject to Section 122 tariffs of 10%. Additionally, on April 2, 2026, President Trump issued a presidential proclamation modifying the application of Section 232 tariffs on steel, aluminum, and their derivative products, which, among other things, removed fitness equipment from the scope of those tariffs. As a result, as of April 6, 2026, the steel and aluminum content in our Connected Fitness Products is no longer subject to Section 232 tariffs of 50%. </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 xml:space="preserve">Voluntary Recall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previously disclosed, on November 6, 2025, in collaboration with the U.S. Consumer Product Safety Commission and Health Canada, we announced a voluntary recall of about 833,000 units in the U.S. and 44,800 units in Canada of the Original Series Bike+ (not Cross Training Bike+). We are offering Members a free replacement seat post as the approved remedy.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2026, we have accrued $7.2 million to replace Original Series Bike+ seat posts, which is a reduction from our accrual of $16.5 million as of September 30, 2025. This reduction is primarily driven by the utilization of our previously established accrual. We have not established any incremental accruals since September 30, 2025. This accrual is based on an amount that we deem probable and estimable and is reflected in Connected Fitness Products Cost of revenue in our Condensed Consolidated Statements of Operations and Comprehensive Income (Loss).</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We may continue to incur additional costs beyond what we have currently estimated to be probable and reasonably estimable, including in connection with the voluntary recall, and if the number of reported incidents involving the Original Series Bike+ seat post materially increases, such additional costs may be material. See </w:t>
      </w:r>
      <w:r>
        <w:rPr>
          <w:color w:val="000000"/>
        </w:rPr>
        <w:t>“</w:t>
      </w:r>
      <w:r>
        <w:rPr>
          <w:rFonts w:ascii="Roboto;sans-serif" w:hAnsi="Roboto;sans-serif"/>
          <w:b w:val="false"/>
          <w:i/>
          <w:color w:val="000000"/>
          <w:sz w:val="18"/>
        </w:rPr>
        <w:t>Risk Factors — Risks Related to Our Connected Fitness Products and Members — Our products and services may be affected from time to time by design and manufacturing defects or product safety issues, real or perceived, that could adversely affect our business and result in harm to our reputation”</w:t>
      </w:r>
      <w:r>
        <w:rPr>
          <w:color w:val="000000"/>
        </w:rPr>
        <w:t xml:space="preserve"> </w:t>
      </w:r>
      <w:r>
        <w:rPr>
          <w:rFonts w:ascii="Roboto;sans-serif" w:hAnsi="Roboto;sans-serif"/>
          <w:b w:val="false"/>
          <w:color w:val="000000"/>
          <w:sz w:val="18"/>
        </w:rPr>
        <w:t>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9309" w:type="dxa"/>
        <w:jc w:val="left"/>
        <w:tblInd w:w="0" w:type="dxa"/>
        <w:tblLayout w:type="fixed"/>
        <w:tblCellMar>
          <w:top w:w="28" w:type="dxa"/>
          <w:left w:w="28" w:type="dxa"/>
          <w:bottom w:w="28" w:type="dxa"/>
          <w:right w:w="28" w:type="dxa"/>
        </w:tblCellMar>
      </w:tblPr>
      <w:tblGrid>
        <w:gridCol w:w="2166"/>
        <w:gridCol w:w="1905"/>
        <w:gridCol w:w="1914"/>
        <w:gridCol w:w="270"/>
        <w:gridCol w:w="846"/>
        <w:gridCol w:w="324"/>
        <w:gridCol w:w="130"/>
        <w:gridCol w:w="130"/>
        <w:gridCol w:w="130"/>
        <w:gridCol w:w="270"/>
        <w:gridCol w:w="846"/>
        <w:gridCol w:w="378"/>
      </w:tblGrid>
      <w:tr>
        <w:trPr/>
        <w:tc>
          <w:tcPr>
            <w:tcW w:w="2166"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r>
      <w:tr>
        <w:trPr/>
        <w:tc>
          <w:tcPr>
            <w:tcW w:w="59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Paid Connected Fitness Subscriptions (in millions)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2.662 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2.880 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Average Net Monthly Paid Connected Fitness Subscription Churn</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Paid App Subscriptions (in millions)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0.522 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0.573 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(1)</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(1)</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72.9 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(in millions)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(2)</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 (in millions)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(3)</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Please see the section titled “Non-GAAP Financial Measures—Adjusted EBITDA” for a reconciliation of Net income (loss) to Adjusted EBITDA and an explanation of why we consider Adjusted EBITDA to be a helpful measure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(3) Please see the section titled “Non-GAAP Financial Measures—Free Cash Flow” for a reconciliation of Net cash provided by operating activities to Free Cash Flow and an explanation of why we consider Free Cash Flow to be a helpful measure for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quarterly Average Net Monthly Paid Connected Fitness Subscription Churn metric averages the monthly Connected Fitness churn percentage across the three months of the reported quarter.</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App Subscriptions includes all subscriptions to our Peloton Apps for which we are currently receiving payment. Starting in fiscal 2026, we no longer report on Average Monthly Paid App Subscription Churn.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Revenue primarily consists of sales of our portfolio of Connected Fitness Products and related accessories, including Precor-branded fitness products, delivery and installation services, Peloton Bike portfolio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Revenue primarily consists of revenue generated from our Paid Connected Fitness Subscriptions and Paid Peloton App Subscriptions, which are offered on a month-to-month or prepaid basis, and revenue generated from content licensing arrangements.</w:t>
      </w:r>
    </w:p>
    <w:p>
      <w:pPr>
        <w:pStyle w:val="TextBody"/>
        <w:bidi w:val="0"/>
        <w:spacing w:lineRule="auto" w:line="288" w:before="0" w:after="24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March 31, 2026, 99% and 77% of o</w:t>
      </w:r>
      <w:r>
        <w:rPr>
          <w:rFonts w:ascii="Roboto;sans-serif" w:hAnsi="Roboto;sans-serif"/>
          <w:b w:val="false"/>
          <w:color w:val="000000"/>
          <w:sz w:val="18"/>
          <w:shd w:fill="FFFFFF" w:val="clear"/>
        </w:rPr>
        <w:t>ur Connected Fitness Subscription and Paid App Subscription bases, respectively, were paying month-to-month.</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 single Connected Fitness Subscription provides access to multiple, different Peloton Connected Fitness Products (such as a Peloton Bike and Peloton Tread) in the same household. As of March 31, 2026, approximately 12% of our Connected Fitness Subscriptions owned multiple, different Connected Fitness Products.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Cost of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Beginning in the first quarter of fiscal 2026, we now assign executive compensation and other corporate overhead costs associated with our corporate facilities, which were historically included in General and administrative expense, to the various expense captions that these costs relate to, including Cost of revenue, Sales and marketing, General and administrative, and Research and development.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primarily consists of our portfolio of Connected Fitness Products, related accessories, Precor-branded fitness products,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including stock-based compensation expense, and expense associated with supply chain logistics. Inventory write-downs and related obsolescence reserve expense are also included within Connected Fitness Products Cost of 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primarily consists of costs associated with content creation and costs to stream content to our Members. These costs consist of both fixed costs, including Instructor, content, and production personnel-related expenses, including stock-based compensation expense, depreciation of property and equipment, studio rent and occupancy, and other studio overhead, as well as variable costs, including music royalty fees, third-party platform streaming costs, and payment processing fees for our monthly subscription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Sales and marketing expense primarily consists of performance marketing media spend, asset creation, and other brand creative, sales and marketing personnel-related expenses, including stock-based compensation expense, costs to operate our retail locations, including rent and occupancy charges, payment processing fees incurred in connection with the sale of our Connected Fitness Products, expenses related to the Peloton Apps, and depreciation of property and equipment.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General and administrative expense primarily consists of personnel-related expenses, including stock-based compensation expense, and facilities-related costs, primarily for our executive, finance, accounting, legal, human resources, IT functions, and Member support team. General and administrative expense also includes software and IT costs, fees for professional services principally comprising legal, audit, tax and accounting services, depreciation of property and equipment, insurance, and litigation settlement costs.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personnel-related expenses, including stock-based compensation expense,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primarily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Additionally, long-lived assets are reviewed for impairment whenever events or changes in circumstances indicate that the carrying amount of an asset group may not be recoverable. Management disposes of fixed assets during the regular course of business due to damage, obsolescence, strategic shifts, and loss.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or settle disputes with suppliers about and to terminate certain alleged past and future commitments.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Total other expense, net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Total other expense, net primarily consists of interest (expense) income, unrealized and realized (losses) gains on investments, net gains relating to our refinancing activities, and foreign exchange (losses) gains.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primarily consists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tbl>
      <w:tblPr>
        <w:tblW w:w="10205" w:type="dxa"/>
        <w:jc w:val="center"/>
        <w:tblInd w:w="0" w:type="dxa"/>
        <w:tblLayout w:type="fixed"/>
        <w:tblCellMar>
          <w:top w:w="28" w:type="dxa"/>
          <w:left w:w="28" w:type="dxa"/>
          <w:bottom w:w="28" w:type="dxa"/>
          <w:right w:w="28" w:type="dxa"/>
        </w:tblCellMar>
      </w:tblPr>
      <w:tblGrid>
        <w:gridCol w:w="1343"/>
        <w:gridCol w:w="1153"/>
        <w:gridCol w:w="1159"/>
        <w:gridCol w:w="294"/>
        <w:gridCol w:w="920"/>
        <w:gridCol w:w="141"/>
        <w:gridCol w:w="141"/>
        <w:gridCol w:w="141"/>
        <w:gridCol w:w="141"/>
        <w:gridCol w:w="294"/>
        <w:gridCol w:w="920"/>
        <w:gridCol w:w="141"/>
        <w:gridCol w:w="109"/>
        <w:gridCol w:w="109"/>
        <w:gridCol w:w="109"/>
        <w:gridCol w:w="275"/>
        <w:gridCol w:w="860"/>
        <w:gridCol w:w="132"/>
        <w:gridCol w:w="132"/>
        <w:gridCol w:w="132"/>
        <w:gridCol w:w="132"/>
        <w:gridCol w:w="275"/>
        <w:gridCol w:w="956"/>
        <w:gridCol w:w="196"/>
      </w:tblGrid>
      <w:tr>
        <w:trPr/>
        <w:tc>
          <w:tcPr>
            <w:tcW w:w="134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6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862.8 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1,006.0 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Income (loss) from operations </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Foreign exchange (loss) gain </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expense, net </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360"/>
        <w:gridCol w:w="1129"/>
        <w:gridCol w:w="1139"/>
        <w:gridCol w:w="327"/>
        <w:gridCol w:w="848"/>
        <w:gridCol w:w="157"/>
        <w:gridCol w:w="157"/>
        <w:gridCol w:w="157"/>
        <w:gridCol w:w="157"/>
        <w:gridCol w:w="327"/>
        <w:gridCol w:w="848"/>
        <w:gridCol w:w="157"/>
        <w:gridCol w:w="109"/>
        <w:gridCol w:w="109"/>
        <w:gridCol w:w="109"/>
        <w:gridCol w:w="286"/>
        <w:gridCol w:w="895"/>
        <w:gridCol w:w="137"/>
        <w:gridCol w:w="137"/>
        <w:gridCol w:w="137"/>
        <w:gridCol w:w="137"/>
        <w:gridCol w:w="286"/>
        <w:gridCol w:w="895"/>
        <w:gridCol w:w="205"/>
      </w:tblGrid>
      <w:tr>
        <w:trPr/>
        <w:tc>
          <w:tcPr>
            <w:tcW w:w="136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2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62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10205" w:type="dxa"/>
        <w:jc w:val="left"/>
        <w:tblInd w:w="0" w:type="dxa"/>
        <w:tblLayout w:type="fixed"/>
        <w:tblCellMar>
          <w:top w:w="28" w:type="dxa"/>
          <w:left w:w="28" w:type="dxa"/>
          <w:bottom w:w="28" w:type="dxa"/>
          <w:right w:w="28" w:type="dxa"/>
        </w:tblCellMar>
      </w:tblPr>
      <w:tblGrid>
        <w:gridCol w:w="1423"/>
        <w:gridCol w:w="1162"/>
        <w:gridCol w:w="1172"/>
        <w:gridCol w:w="321"/>
        <w:gridCol w:w="834"/>
        <w:gridCol w:w="155"/>
        <w:gridCol w:w="155"/>
        <w:gridCol w:w="155"/>
        <w:gridCol w:w="155"/>
        <w:gridCol w:w="321"/>
        <w:gridCol w:w="834"/>
        <w:gridCol w:w="155"/>
        <w:gridCol w:w="109"/>
        <w:gridCol w:w="109"/>
        <w:gridCol w:w="109"/>
        <w:gridCol w:w="309"/>
        <w:gridCol w:w="802"/>
        <w:gridCol w:w="149"/>
        <w:gridCol w:w="149"/>
        <w:gridCol w:w="149"/>
        <w:gridCol w:w="149"/>
        <w:gridCol w:w="309"/>
        <w:gridCol w:w="802"/>
        <w:gridCol w:w="218"/>
      </w:tblGrid>
      <w:tr>
        <w:trPr/>
        <w:tc>
          <w:tcPr>
            <w:tcW w:w="142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and Nine Months Ended March 31, 2026 and 2025</w:t>
      </w:r>
    </w:p>
    <w:p>
      <w:pPr>
        <w:pStyle w:val="TextBody"/>
        <w:bidi w:val="0"/>
        <w:spacing w:lineRule="auto" w:line="288" w:before="240" w:after="200"/>
        <w:jc w:val="both"/>
        <w:rPr>
          <w:rFonts w:ascii="Roboto;sans-serif" w:hAnsi="Roboto;sans-serif"/>
          <w:b/>
          <w:i/>
          <w:color w:val="000000"/>
          <w:sz w:val="18"/>
        </w:rPr>
      </w:pPr>
      <w:r>
        <w:rPr>
          <w:rFonts w:ascii="Roboto;sans-serif" w:hAnsi="Roboto;sans-serif"/>
          <w:b/>
          <w:i/>
          <w:color w:val="000000"/>
          <w:sz w:val="18"/>
        </w:rPr>
        <w:t>Revenue</w:t>
      </w:r>
    </w:p>
    <w:tbl>
      <w:tblPr>
        <w:tblW w:w="10365" w:type="dxa"/>
        <w:jc w:val="center"/>
        <w:tblInd w:w="0" w:type="dxa"/>
        <w:tblLayout w:type="fixed"/>
        <w:tblCellMar>
          <w:top w:w="28" w:type="dxa"/>
          <w:left w:w="28" w:type="dxa"/>
          <w:bottom w:w="28" w:type="dxa"/>
          <w:right w:w="28" w:type="dxa"/>
        </w:tblCellMar>
      </w:tblPr>
      <w:tblGrid>
        <w:gridCol w:w="561"/>
        <w:gridCol w:w="349"/>
        <w:gridCol w:w="351"/>
        <w:gridCol w:w="226"/>
        <w:gridCol w:w="706"/>
        <w:gridCol w:w="271"/>
        <w:gridCol w:w="109"/>
        <w:gridCol w:w="109"/>
        <w:gridCol w:w="109"/>
        <w:gridCol w:w="226"/>
        <w:gridCol w:w="706"/>
        <w:gridCol w:w="271"/>
        <w:gridCol w:w="109"/>
        <w:gridCol w:w="109"/>
        <w:gridCol w:w="109"/>
        <w:gridCol w:w="375"/>
        <w:gridCol w:w="375"/>
        <w:gridCol w:w="376"/>
        <w:gridCol w:w="109"/>
        <w:gridCol w:w="109"/>
        <w:gridCol w:w="109"/>
        <w:gridCol w:w="226"/>
        <w:gridCol w:w="886"/>
        <w:gridCol w:w="271"/>
        <w:gridCol w:w="109"/>
        <w:gridCol w:w="109"/>
        <w:gridCol w:w="109"/>
        <w:gridCol w:w="226"/>
        <w:gridCol w:w="886"/>
        <w:gridCol w:w="271"/>
        <w:gridCol w:w="109"/>
        <w:gridCol w:w="109"/>
        <w:gridCol w:w="109"/>
        <w:gridCol w:w="343"/>
        <w:gridCol w:w="343"/>
        <w:gridCol w:w="485"/>
      </w:tblGrid>
      <w:tr>
        <w:trPr/>
        <w:tc>
          <w:tcPr>
            <w:tcW w:w="5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March 31, 2026 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Revenue decreased $2.6 million for the three months ended March 31, 2026, compared to the three months ended March 31, 2025, primarily due to lower sales of certain Connected Fitness products, partially offset by improvements in Precor revenue during the three months ended March 31,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Subscription Revenue increased $9.4 million for the three months ended March 31, 2026, compared to the three months ended March 31, 2025, primarily due to the subscription price increases that became effective during the three months ended December 31, 2025,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decreases in Paid Connected Fitness and App Subscriptions and decreases in content licensing revenue during the three months ended March 31, 2026. </w:t>
      </w:r>
    </w:p>
    <w:p>
      <w:pPr>
        <w:pStyle w:val="TextBody"/>
        <w:bidi w:val="0"/>
        <w:spacing w:lineRule="auto" w:line="288" w:before="0" w:after="0"/>
        <w:jc w:val="both"/>
        <w:rPr/>
      </w:pPr>
      <w:r>
        <w:rPr>
          <w:rFonts w:ascii="Roboto;sans-serif" w:hAnsi="Roboto;sans-serif"/>
          <w:b w:val="false"/>
          <w:i/>
          <w:color w:val="000000"/>
          <w:sz w:val="18"/>
        </w:rPr>
        <w:t>Nine Months Ended March 31, 2026</w:t>
      </w:r>
      <w:r>
        <w:rPr>
          <w:color w:val="000000"/>
        </w:rPr>
        <w:t xml:space="preserve"> </w:t>
      </w:r>
      <w:r>
        <w:rPr>
          <w:rFonts w:ascii="Roboto;sans-serif" w:hAnsi="Roboto;sans-serif"/>
          <w:b w:val="false"/>
          <w:i/>
          <w:color w:val="000000"/>
          <w:sz w:val="18"/>
        </w:rPr>
        <w:t>and 2025</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Connected Fitness Products Revenue decreased $19.2 million</w:t>
      </w:r>
      <w:r>
        <w:rPr>
          <w:color w:val="000000"/>
        </w:rPr>
        <w:t xml:space="preserve"> </w:t>
      </w:r>
      <w:r>
        <w:rPr>
          <w:rFonts w:ascii="Roboto;sans-serif" w:hAnsi="Roboto;sans-serif"/>
          <w:b w:val="false"/>
          <w:color w:val="000000"/>
          <w:sz w:val="18"/>
        </w:rPr>
        <w:t>for the nine months ended March 31, 2026, compared to the nine months ended March 31, 2025, primarily attributable to lower sales of certain Connected Fitness products, partially offset by improvements in Precor revenue during the nine months ended March 31,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Subscription Revenue decreased $26.5 million for the nine months ended March 31, 2026, compared to the nine months ended March 31, 2025, primarily due to decreases in Paid Connected Fitness and App Subscriptions and decreases in content licensing revenue, partially offset by the subscription price increases that became effective during the three months ended December 31, 2025. </w:t>
      </w:r>
    </w:p>
    <w:p>
      <w:pPr>
        <w:pStyle w:val="TextBody"/>
        <w:bidi w:val="0"/>
        <w:spacing w:lineRule="auto" w:line="288" w:before="0" w:after="20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10205" w:type="dxa"/>
        <w:jc w:val="left"/>
        <w:tblInd w:w="0" w:type="dxa"/>
        <w:tblLayout w:type="fixed"/>
        <w:tblCellMar>
          <w:top w:w="28" w:type="dxa"/>
          <w:left w:w="28" w:type="dxa"/>
          <w:bottom w:w="28" w:type="dxa"/>
          <w:right w:w="28" w:type="dxa"/>
        </w:tblCellMar>
      </w:tblPr>
      <w:tblGrid>
        <w:gridCol w:w="735"/>
        <w:gridCol w:w="320"/>
        <w:gridCol w:w="322"/>
        <w:gridCol w:w="229"/>
        <w:gridCol w:w="718"/>
        <w:gridCol w:w="275"/>
        <w:gridCol w:w="110"/>
        <w:gridCol w:w="110"/>
        <w:gridCol w:w="110"/>
        <w:gridCol w:w="229"/>
        <w:gridCol w:w="718"/>
        <w:gridCol w:w="275"/>
        <w:gridCol w:w="109"/>
        <w:gridCol w:w="109"/>
        <w:gridCol w:w="109"/>
        <w:gridCol w:w="375"/>
        <w:gridCol w:w="375"/>
        <w:gridCol w:w="376"/>
        <w:gridCol w:w="109"/>
        <w:gridCol w:w="109"/>
        <w:gridCol w:w="109"/>
        <w:gridCol w:w="228"/>
        <w:gridCol w:w="715"/>
        <w:gridCol w:w="274"/>
        <w:gridCol w:w="110"/>
        <w:gridCol w:w="110"/>
        <w:gridCol w:w="110"/>
        <w:gridCol w:w="228"/>
        <w:gridCol w:w="715"/>
        <w:gridCol w:w="274"/>
        <w:gridCol w:w="109"/>
        <w:gridCol w:w="109"/>
        <w:gridCol w:w="109"/>
        <w:gridCol w:w="343"/>
        <w:gridCol w:w="343"/>
        <w:gridCol w:w="497"/>
      </w:tblGrid>
      <w:tr>
        <w:trPr/>
        <w:tc>
          <w:tcPr>
            <w:tcW w:w="7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Cost of revenue:</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531.8 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w:t>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(9.4)</w:t>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895.9 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(5.1)%</w:t>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profit:</w:t>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(12.1)%</w:t>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874.9 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w:t>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327.3 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942.3 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0.2%</w:t>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margin:</w:t>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70.6 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March 31, 2026 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Connected Fitness Products Cost of revenue increased $3.8 million for the three months ended March 31, 2026, compared to the three months ended March 31, 2025. This increase was primarily driven by higher sales of Precor-branded fitness products, and an increase in import tariff charges, partially offset by lower sales of certain Connected Fitness products, and lower warranty expense.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Connected Fitness Products Gross margin decreased to 11.3% for the three months ended March 31, 2026, compared to 14.3% for the three months ended March 31, 2025. This decrease was primarily driven by higher promotional discounts, a product mix shift towards lower-margin products, and an increase in import tariff charges, partially offset by lower warranty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decreased $6.1 million for the three months ended March 31, 2026, compared to the three months ended March 31, 2025, primarily due to lower music royalties costs and related reserves, and a reduction in depreciation and amortization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Gross margin increased to 71.1% for the three months ended March 31, 2026, compared to 69.0% for the three months ended March 31, 2025. This increase was primarily driven by the subscription price increases that became effective during the three months ended December 31, 2025, and lower music royalties costs and related reserves, partially offset by decreases in Paid Connected Fitness and App Subscriptions and content licensing revenue.</w:t>
      </w:r>
    </w:p>
    <w:p>
      <w:pPr>
        <w:pStyle w:val="TextBody"/>
        <w:bidi w:val="0"/>
        <w:spacing w:lineRule="auto" w:line="417" w:before="0" w:after="0"/>
        <w:jc w:val="both"/>
        <w:rPr/>
      </w:pPr>
      <w:r>
        <w:rPr>
          <w:rFonts w:ascii="Roboto;sans-serif" w:hAnsi="Roboto;sans-serif"/>
          <w:b w:val="false"/>
          <w:i/>
          <w:color w:val="000000"/>
          <w:sz w:val="18"/>
        </w:rPr>
        <w:t>Nine Months Ended March 31, 2026</w:t>
      </w:r>
      <w:r>
        <w:rPr>
          <w:color w:val="000000"/>
        </w:rPr>
        <w:t xml:space="preserve"> </w:t>
      </w:r>
      <w:r>
        <w:rPr>
          <w:rFonts w:ascii="Roboto;sans-serif" w:hAnsi="Roboto;sans-serif"/>
          <w:b w:val="false"/>
          <w:i/>
          <w:color w:val="000000"/>
          <w:sz w:val="18"/>
        </w:rPr>
        <w:t>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decreased $9.9 million for the nine months ended March 31, 2026, compared to the nine months ended March 31, 2025. This decrease was primarily driven by lower sales of certain Connected Fitness Products, and lower warranty expense, partially offset by the $13.5 million expense incurred related to the Original Series Bike+ seat post recall, higher sales of Precor-branded fitness products, and an increase in import tariff charges.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Our Connected Fitness Products Gross margin decreased to 11.3% for the nine months ended March 31, 2026, compared to 12.4% for the nine months ended March 31, 2025. This decrease was primarily driven by the $13.5 million expense incurred related to the Original Series Bike+ seat post recall, higher promotional discounts, a product mix shift towards lower-margin products, and an increase in import tariff charges, partially offset by lower warranty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decreased $37.9 million for the nine months ended March 31, 2026, compared to the nine months ended March 31, 2025, primarily due to lower music royalties costs and related reserves, and a reduction in depreciation and amortization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Gross margin increased to 70.6% for the nine months ended March 31, 2026, compared to 68.2% for the nine months ended March 31, 2025. This increase was primarily driven by the subscription price increases that became effective during the three months ended December 31, 2025, and lower music royalties costs and related reserves, partially offset by decreases in Paid Connected Fitness and App Subscriptions and content licensing revenue.</w:t>
      </w:r>
    </w:p>
    <w:p>
      <w:pPr>
        <w:pStyle w:val="TextBody"/>
        <w:bidi w:val="0"/>
        <w:spacing w:lineRule="auto" w:line="288" w:before="0" w:after="20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10205" w:type="dxa"/>
        <w:jc w:val="left"/>
        <w:tblInd w:w="0" w:type="dxa"/>
        <w:tblLayout w:type="fixed"/>
        <w:tblCellMar>
          <w:top w:w="28" w:type="dxa"/>
          <w:left w:w="28" w:type="dxa"/>
          <w:bottom w:w="28" w:type="dxa"/>
          <w:right w:w="28" w:type="dxa"/>
        </w:tblCellMar>
      </w:tblPr>
      <w:tblGrid>
        <w:gridCol w:w="574"/>
        <w:gridCol w:w="424"/>
        <w:gridCol w:w="427"/>
        <w:gridCol w:w="234"/>
        <w:gridCol w:w="607"/>
        <w:gridCol w:w="280"/>
        <w:gridCol w:w="112"/>
        <w:gridCol w:w="112"/>
        <w:gridCol w:w="112"/>
        <w:gridCol w:w="234"/>
        <w:gridCol w:w="731"/>
        <w:gridCol w:w="280"/>
        <w:gridCol w:w="109"/>
        <w:gridCol w:w="109"/>
        <w:gridCol w:w="109"/>
        <w:gridCol w:w="375"/>
        <w:gridCol w:w="375"/>
        <w:gridCol w:w="376"/>
        <w:gridCol w:w="109"/>
        <w:gridCol w:w="109"/>
        <w:gridCol w:w="109"/>
        <w:gridCol w:w="230"/>
        <w:gridCol w:w="721"/>
        <w:gridCol w:w="276"/>
        <w:gridCol w:w="111"/>
        <w:gridCol w:w="111"/>
        <w:gridCol w:w="111"/>
        <w:gridCol w:w="230"/>
        <w:gridCol w:w="721"/>
        <w:gridCol w:w="276"/>
        <w:gridCol w:w="109"/>
        <w:gridCol w:w="109"/>
        <w:gridCol w:w="109"/>
        <w:gridCol w:w="343"/>
        <w:gridCol w:w="343"/>
        <w:gridCol w:w="498"/>
      </w:tblGrid>
      <w:tr>
        <w:trPr/>
        <w:tc>
          <w:tcPr>
            <w:tcW w:w="5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96"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(7.1)%</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March 31, 2026 and 2025</w:t>
      </w:r>
    </w:p>
    <w:p>
      <w:pPr>
        <w:pStyle w:val="TextBody"/>
        <w:bidi w:val="0"/>
        <w:spacing w:lineRule="auto" w:line="288" w:before="0" w:after="240"/>
        <w:jc w:val="both"/>
        <w:rPr/>
      </w:pPr>
      <w:r>
        <w:rPr>
          <w:rFonts w:ascii="Roboto;sans-serif" w:hAnsi="Roboto;sans-serif"/>
          <w:b w:val="false"/>
          <w:color w:val="000000"/>
          <w:sz w:val="18"/>
        </w:rPr>
        <w:t>Sales and marketing expense decreased $8.4 million for the three and nine months ended March 31, 2026, respectively, compared to the three and nine months ended March 31, 2025, primarily driven by a decrease</w:t>
      </w:r>
      <w:r>
        <w:rPr>
          <w:color w:val="000000"/>
        </w:rPr>
        <w:t xml:space="preserve"> </w:t>
      </w:r>
      <w:r>
        <w:rPr>
          <w:rFonts w:ascii="Roboto;sans-serif" w:hAnsi="Roboto;sans-serif"/>
          <w:b w:val="false"/>
          <w:color w:val="000000"/>
          <w:sz w:val="18"/>
        </w:rPr>
        <w:t xml:space="preserve">in acquisition marketing spend. </w:t>
      </w:r>
    </w:p>
    <w:p>
      <w:pPr>
        <w:pStyle w:val="TextBody"/>
        <w:bidi w:val="0"/>
        <w:spacing w:lineRule="auto" w:line="417" w:before="0" w:after="0"/>
        <w:jc w:val="both"/>
        <w:rPr/>
      </w:pPr>
      <w:r>
        <w:rPr>
          <w:rFonts w:ascii="Roboto;sans-serif" w:hAnsi="Roboto;sans-serif"/>
          <w:b w:val="false"/>
          <w:i/>
          <w:color w:val="000000"/>
          <w:sz w:val="18"/>
        </w:rPr>
        <w:t>Nine Months Ended March 31, 2026</w:t>
      </w:r>
      <w:r>
        <w:rPr>
          <w:color w:val="000000"/>
        </w:rPr>
        <w:t xml:space="preserve"> </w:t>
      </w:r>
      <w:r>
        <w:rPr>
          <w:rFonts w:ascii="Roboto;sans-serif" w:hAnsi="Roboto;sans-serif"/>
          <w:b w:val="false"/>
          <w:color w:val="000000"/>
          <w:sz w:val="18"/>
        </w:rPr>
        <w:t>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Sales and marketing expense decreased $24.2 million for the nine months ended March 31, 2026, compared to the nine months ended March 31, 2025, primarily driven by a $22.1 million decrease in acquisition and brand marketing charges, and a $3.2 million decrease in rent and occupancy charges due to the exit of certain retail showroom locations. </w:t>
      </w:r>
    </w:p>
    <w:p>
      <w:pPr>
        <w:pStyle w:val="TextBody"/>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10205" w:type="dxa"/>
        <w:jc w:val="left"/>
        <w:tblInd w:w="0" w:type="dxa"/>
        <w:tblLayout w:type="fixed"/>
        <w:tblCellMar>
          <w:top w:w="28" w:type="dxa"/>
          <w:left w:w="28" w:type="dxa"/>
          <w:bottom w:w="28" w:type="dxa"/>
          <w:right w:w="28" w:type="dxa"/>
        </w:tblCellMar>
      </w:tblPr>
      <w:tblGrid>
        <w:gridCol w:w="522"/>
        <w:gridCol w:w="459"/>
        <w:gridCol w:w="461"/>
        <w:gridCol w:w="226"/>
        <w:gridCol w:w="708"/>
        <w:gridCol w:w="272"/>
        <w:gridCol w:w="109"/>
        <w:gridCol w:w="109"/>
        <w:gridCol w:w="109"/>
        <w:gridCol w:w="226"/>
        <w:gridCol w:w="708"/>
        <w:gridCol w:w="272"/>
        <w:gridCol w:w="109"/>
        <w:gridCol w:w="109"/>
        <w:gridCol w:w="109"/>
        <w:gridCol w:w="375"/>
        <w:gridCol w:w="375"/>
        <w:gridCol w:w="376"/>
        <w:gridCol w:w="109"/>
        <w:gridCol w:w="109"/>
        <w:gridCol w:w="109"/>
        <w:gridCol w:w="226"/>
        <w:gridCol w:w="708"/>
        <w:gridCol w:w="271"/>
        <w:gridCol w:w="109"/>
        <w:gridCol w:w="109"/>
        <w:gridCol w:w="109"/>
        <w:gridCol w:w="226"/>
        <w:gridCol w:w="708"/>
        <w:gridCol w:w="271"/>
        <w:gridCol w:w="109"/>
        <w:gridCol w:w="109"/>
        <w:gridCol w:w="109"/>
        <w:gridCol w:w="343"/>
        <w:gridCol w:w="343"/>
        <w:gridCol w:w="494"/>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8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(21.9)%</w:t>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and Nine Months Ended March 31, 2026 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General and administrative expense decreased $41.0 million and $88.1 million for the three and nine months ended March 31, 2026, respectively, compared to the three and nine months ended March 31, 2025. The decrease was mainly driven by a decrease of $32.0 million and $60.6 million in personnel-related expenses, inclusive of stock-based compensation expense, respectively, primarily due to decreased average headcount and the assignment of executive compensation to the various expense captions beginning in fiscal 2026, and a decrease of $4.0 million and $12.2 million in rent and occupancy charges, respectively, primarily due to the assignment of other corporate overhead costs to the various expense captions beginning in fiscal 2026.</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10205" w:type="dxa"/>
        <w:jc w:val="left"/>
        <w:tblInd w:w="0" w:type="dxa"/>
        <w:tblLayout w:type="fixed"/>
        <w:tblCellMar>
          <w:top w:w="28" w:type="dxa"/>
          <w:left w:w="28" w:type="dxa"/>
          <w:bottom w:w="28" w:type="dxa"/>
          <w:right w:w="28" w:type="dxa"/>
        </w:tblCellMar>
      </w:tblPr>
      <w:tblGrid>
        <w:gridCol w:w="557"/>
        <w:gridCol w:w="490"/>
        <w:gridCol w:w="491"/>
        <w:gridCol w:w="235"/>
        <w:gridCol w:w="610"/>
        <w:gridCol w:w="282"/>
        <w:gridCol w:w="113"/>
        <w:gridCol w:w="113"/>
        <w:gridCol w:w="113"/>
        <w:gridCol w:w="235"/>
        <w:gridCol w:w="610"/>
        <w:gridCol w:w="282"/>
        <w:gridCol w:w="109"/>
        <w:gridCol w:w="109"/>
        <w:gridCol w:w="109"/>
        <w:gridCol w:w="375"/>
        <w:gridCol w:w="375"/>
        <w:gridCol w:w="376"/>
        <w:gridCol w:w="109"/>
        <w:gridCol w:w="109"/>
        <w:gridCol w:w="109"/>
        <w:gridCol w:w="230"/>
        <w:gridCol w:w="720"/>
        <w:gridCol w:w="276"/>
        <w:gridCol w:w="111"/>
        <w:gridCol w:w="111"/>
        <w:gridCol w:w="111"/>
        <w:gridCol w:w="230"/>
        <w:gridCol w:w="720"/>
        <w:gridCol w:w="276"/>
        <w:gridCol w:w="109"/>
        <w:gridCol w:w="109"/>
        <w:gridCol w:w="109"/>
        <w:gridCol w:w="343"/>
        <w:gridCol w:w="343"/>
        <w:gridCol w:w="496"/>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8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4.2%</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and Nine Months Ended March 31, 2026 and 2025</w:t>
      </w:r>
    </w:p>
    <w:p>
      <w:pPr>
        <w:pStyle w:val="TextBody"/>
        <w:bidi w:val="0"/>
        <w:spacing w:lineRule="auto" w:line="288" w:before="0" w:after="240"/>
        <w:jc w:val="both"/>
        <w:rPr/>
      </w:pPr>
      <w:r>
        <w:rPr>
          <w:rFonts w:ascii="Roboto;sans-serif" w:hAnsi="Roboto;sans-serif"/>
          <w:b w:val="false"/>
          <w:color w:val="000000"/>
          <w:sz w:val="18"/>
        </w:rPr>
        <w:t>Research and development expense remained mostly consistent for the three months ended March 31, 2026, compared to the three months ended March 31, 2025. Research and development expense increased $7.5 million for the nine months ended March 31, 2026, compared to the nine months ended March 31, 2025, mainly driven by a $7.2 million increase in personnel-related expenses, inclusive of stock-based compensation expense, and a $4.6 million increase</w:t>
      </w:r>
      <w:r>
        <w:rPr>
          <w:color w:val="000000"/>
        </w:rPr>
        <w:t xml:space="preserve"> </w:t>
      </w:r>
      <w:r>
        <w:rPr>
          <w:rFonts w:ascii="Roboto;sans-serif" w:hAnsi="Roboto;sans-serif"/>
          <w:b w:val="false"/>
          <w:color w:val="000000"/>
          <w:sz w:val="18"/>
        </w:rPr>
        <w:t xml:space="preserve">in rent and occupancy charges, both primarily due to the assignment of executive compensation and other corporate overhead costs, discussed above, partially offset by a $2.7 million decrease in product development costs, primarily due to a reduction in contractor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10205" w:type="dxa"/>
        <w:jc w:val="left"/>
        <w:tblInd w:w="0" w:type="dxa"/>
        <w:tblLayout w:type="fixed"/>
        <w:tblCellMar>
          <w:top w:w="28" w:type="dxa"/>
          <w:left w:w="28" w:type="dxa"/>
          <w:bottom w:w="28" w:type="dxa"/>
          <w:right w:w="28" w:type="dxa"/>
        </w:tblCellMar>
      </w:tblPr>
      <w:tblGrid>
        <w:gridCol w:w="577"/>
        <w:gridCol w:w="506"/>
        <w:gridCol w:w="508"/>
        <w:gridCol w:w="294"/>
        <w:gridCol w:w="607"/>
        <w:gridCol w:w="141"/>
        <w:gridCol w:w="141"/>
        <w:gridCol w:w="141"/>
        <w:gridCol w:w="141"/>
        <w:gridCol w:w="294"/>
        <w:gridCol w:w="763"/>
        <w:gridCol w:w="141"/>
        <w:gridCol w:w="109"/>
        <w:gridCol w:w="109"/>
        <w:gridCol w:w="109"/>
        <w:gridCol w:w="375"/>
        <w:gridCol w:w="375"/>
        <w:gridCol w:w="376"/>
        <w:gridCol w:w="109"/>
        <w:gridCol w:w="109"/>
        <w:gridCol w:w="109"/>
        <w:gridCol w:w="277"/>
        <w:gridCol w:w="721"/>
        <w:gridCol w:w="134"/>
        <w:gridCol w:w="134"/>
        <w:gridCol w:w="134"/>
        <w:gridCol w:w="134"/>
        <w:gridCol w:w="277"/>
        <w:gridCol w:w="721"/>
        <w:gridCol w:w="134"/>
        <w:gridCol w:w="109"/>
        <w:gridCol w:w="109"/>
        <w:gridCol w:w="109"/>
        <w:gridCol w:w="343"/>
        <w:gridCol w:w="343"/>
        <w:gridCol w:w="492"/>
      </w:tblGrid>
      <w:tr>
        <w:trPr/>
        <w:tc>
          <w:tcPr>
            <w:tcW w:w="57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9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36"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(33.7)%</w:t>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March 31, 2026 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decreased $27.3 million for the three months ended March 31, 2026, compared to the three months ended March 31, 2025, mainly driven by a $32.2 million decrease in asset write-downs and write-offs related to plans to right-size portions of our corporate office footprint, partially offset by a $7.9 million increase in impairment expense related to the exit of retail showroom locations.</w:t>
      </w:r>
    </w:p>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 xml:space="preserve">Nine Months Ended March 31, 2026 and 2025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decreased $17.6 million for the nine months ended March 31, 2026, compared to the nine months ended March 31, 2025, mainly driven by a $9.3 million decrease in asset write-downs and write-offs related to plans to right-size portions of our corporate office footprint, and a $6.1 million decrease in impairment expense related to the exit of retail showroom locations.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10205" w:type="dxa"/>
        <w:jc w:val="left"/>
        <w:tblInd w:w="0" w:type="dxa"/>
        <w:tblLayout w:type="fixed"/>
        <w:tblCellMar>
          <w:top w:w="28" w:type="dxa"/>
          <w:left w:w="28" w:type="dxa"/>
          <w:bottom w:w="28" w:type="dxa"/>
          <w:right w:w="28" w:type="dxa"/>
        </w:tblCellMar>
      </w:tblPr>
      <w:tblGrid>
        <w:gridCol w:w="636"/>
        <w:gridCol w:w="559"/>
        <w:gridCol w:w="560"/>
        <w:gridCol w:w="302"/>
        <w:gridCol w:w="624"/>
        <w:gridCol w:w="145"/>
        <w:gridCol w:w="145"/>
        <w:gridCol w:w="145"/>
        <w:gridCol w:w="145"/>
        <w:gridCol w:w="302"/>
        <w:gridCol w:w="624"/>
        <w:gridCol w:w="145"/>
        <w:gridCol w:w="109"/>
        <w:gridCol w:w="109"/>
        <w:gridCol w:w="109"/>
        <w:gridCol w:w="375"/>
        <w:gridCol w:w="375"/>
        <w:gridCol w:w="376"/>
        <w:gridCol w:w="109"/>
        <w:gridCol w:w="109"/>
        <w:gridCol w:w="109"/>
        <w:gridCol w:w="285"/>
        <w:gridCol w:w="740"/>
        <w:gridCol w:w="137"/>
        <w:gridCol w:w="137"/>
        <w:gridCol w:w="137"/>
        <w:gridCol w:w="137"/>
        <w:gridCol w:w="285"/>
        <w:gridCol w:w="588"/>
        <w:gridCol w:w="137"/>
        <w:gridCol w:w="109"/>
        <w:gridCol w:w="109"/>
        <w:gridCol w:w="109"/>
        <w:gridCol w:w="343"/>
        <w:gridCol w:w="343"/>
        <w:gridCol w:w="497"/>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7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26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30.2%</w:t>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March 31, 2026 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Restructuring expense increased $1.7 million for the three months ended March 31, 2026, compared to the three months ended March 31, 2025, primarily due to an increase in severance and other personnel costs in connection with the Restructuring Plans.</w:t>
      </w:r>
    </w:p>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 xml:space="preserve">Nine Months Ended March 31, 2026 and 2025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Restructuring expense increased $2.6 million for the nine months ended March 31, 2026, compared to the nine months ended March 31, 2025, primarily due to an increase in exit and disposal costs and professional fees, and an increase in stock-based compensation expense, in connection with the Restructuring Plans. </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10205" w:type="dxa"/>
        <w:jc w:val="left"/>
        <w:tblInd w:w="0" w:type="dxa"/>
        <w:tblLayout w:type="fixed"/>
        <w:tblCellMar>
          <w:top w:w="28" w:type="dxa"/>
          <w:left w:w="28" w:type="dxa"/>
          <w:bottom w:w="28" w:type="dxa"/>
          <w:right w:w="28" w:type="dxa"/>
        </w:tblCellMar>
      </w:tblPr>
      <w:tblGrid>
        <w:gridCol w:w="595"/>
        <w:gridCol w:w="521"/>
        <w:gridCol w:w="524"/>
        <w:gridCol w:w="329"/>
        <w:gridCol w:w="592"/>
        <w:gridCol w:w="158"/>
        <w:gridCol w:w="158"/>
        <w:gridCol w:w="158"/>
        <w:gridCol w:w="158"/>
        <w:gridCol w:w="329"/>
        <w:gridCol w:w="592"/>
        <w:gridCol w:w="158"/>
        <w:gridCol w:w="109"/>
        <w:gridCol w:w="109"/>
        <w:gridCol w:w="109"/>
        <w:gridCol w:w="375"/>
        <w:gridCol w:w="375"/>
        <w:gridCol w:w="376"/>
        <w:gridCol w:w="109"/>
        <w:gridCol w:w="109"/>
        <w:gridCol w:w="109"/>
        <w:gridCol w:w="300"/>
        <w:gridCol w:w="541"/>
        <w:gridCol w:w="145"/>
        <w:gridCol w:w="145"/>
        <w:gridCol w:w="145"/>
        <w:gridCol w:w="145"/>
        <w:gridCol w:w="300"/>
        <w:gridCol w:w="780"/>
        <w:gridCol w:w="145"/>
        <w:gridCol w:w="109"/>
        <w:gridCol w:w="109"/>
        <w:gridCol w:w="109"/>
        <w:gridCol w:w="343"/>
        <w:gridCol w:w="343"/>
        <w:gridCol w:w="494"/>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8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(100.0)%</w:t>
            </w:r>
          </w:p>
        </w:tc>
      </w:tr>
    </w:tbl>
    <w:p>
      <w:pPr>
        <w:pStyle w:val="TextBody"/>
        <w:bidi w:val="0"/>
        <w:spacing w:lineRule="auto" w:line="417" w:before="240" w:after="283"/>
        <w:jc w:val="both"/>
        <w:rPr/>
      </w:pPr>
      <w:r>
        <w:rPr>
          <w:rFonts w:ascii="Roboto;sans-serif" w:hAnsi="Roboto;sans-serif"/>
          <w:b w:val="false"/>
          <w:i/>
          <w:color w:val="000000"/>
          <w:sz w:val="18"/>
        </w:rPr>
        <w:t>Nine Months Ended March 31, 2026</w:t>
      </w:r>
      <w:r>
        <w:rPr>
          <w:color w:val="000000"/>
        </w:rPr>
        <w:t xml:space="preserve"> </w:t>
      </w:r>
      <w:r>
        <w:rPr>
          <w:rFonts w:ascii="Roboto;sans-serif" w:hAnsi="Roboto;sans-serif"/>
          <w:b w:val="false"/>
          <w:i/>
          <w:color w:val="000000"/>
          <w:sz w:val="18"/>
        </w:rPr>
        <w:t>and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Supplier settlements decreased $23.5 million for the nine months ended March 31, 2026, compared to the nine months ended March 31, 2025, due to the settlement of disputes with a third-party supplier about certain alleged past and future commitments during the nine months ended March 31, 2025.</w:t>
      </w:r>
    </w:p>
    <w:p>
      <w:pPr>
        <w:pStyle w:val="TextBody"/>
        <w:bidi w:val="0"/>
        <w:spacing w:lineRule="auto" w:line="288" w:before="0" w:after="200"/>
        <w:jc w:val="both"/>
        <w:rPr>
          <w:rFonts w:ascii="Roboto;sans-serif" w:hAnsi="Roboto;sans-serif"/>
          <w:b/>
          <w:i/>
          <w:color w:val="000000"/>
          <w:sz w:val="18"/>
        </w:rPr>
      </w:pPr>
      <w:r>
        <w:rPr>
          <w:rFonts w:ascii="Roboto;sans-serif" w:hAnsi="Roboto;sans-serif"/>
          <w:b/>
          <w:i/>
          <w:color w:val="000000"/>
          <w:sz w:val="18"/>
        </w:rPr>
        <w:t>Total other expense, net and Income tax expense</w:t>
      </w:r>
    </w:p>
    <w:tbl>
      <w:tblPr>
        <w:tblW w:w="10205" w:type="dxa"/>
        <w:jc w:val="left"/>
        <w:tblInd w:w="0" w:type="dxa"/>
        <w:tblLayout w:type="fixed"/>
        <w:tblCellMar>
          <w:top w:w="28" w:type="dxa"/>
          <w:left w:w="28" w:type="dxa"/>
          <w:bottom w:w="28" w:type="dxa"/>
          <w:right w:w="28" w:type="dxa"/>
        </w:tblCellMar>
      </w:tblPr>
      <w:tblGrid>
        <w:gridCol w:w="661"/>
        <w:gridCol w:w="507"/>
        <w:gridCol w:w="511"/>
        <w:gridCol w:w="260"/>
        <w:gridCol w:w="731"/>
        <w:gridCol w:w="125"/>
        <w:gridCol w:w="125"/>
        <w:gridCol w:w="125"/>
        <w:gridCol w:w="125"/>
        <w:gridCol w:w="260"/>
        <w:gridCol w:w="731"/>
        <w:gridCol w:w="125"/>
        <w:gridCol w:w="109"/>
        <w:gridCol w:w="109"/>
        <w:gridCol w:w="109"/>
        <w:gridCol w:w="375"/>
        <w:gridCol w:w="375"/>
        <w:gridCol w:w="376"/>
        <w:gridCol w:w="109"/>
        <w:gridCol w:w="109"/>
        <w:gridCol w:w="109"/>
        <w:gridCol w:w="249"/>
        <w:gridCol w:w="701"/>
        <w:gridCol w:w="120"/>
        <w:gridCol w:w="120"/>
        <w:gridCol w:w="120"/>
        <w:gridCol w:w="120"/>
        <w:gridCol w:w="249"/>
        <w:gridCol w:w="834"/>
        <w:gridCol w:w="120"/>
        <w:gridCol w:w="109"/>
        <w:gridCol w:w="109"/>
        <w:gridCol w:w="109"/>
        <w:gridCol w:w="343"/>
        <w:gridCol w:w="343"/>
        <w:gridCol w:w="493"/>
      </w:tblGrid>
      <w:tr>
        <w:trPr/>
        <w:tc>
          <w:tcPr>
            <w:tcW w:w="66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4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(8.6)%</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Foreign exchange (loss) gain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(261.0)%</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expense, net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1809.0%</w:t>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(60.3)%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240" w:after="283"/>
        <w:jc w:val="both"/>
        <w:rPr>
          <w:rFonts w:ascii="Roboto;sans-serif" w:hAnsi="Roboto;sans-serif"/>
          <w:b w:val="false"/>
          <w:color w:val="000000"/>
          <w:sz w:val="18"/>
        </w:rPr>
      </w:pPr>
      <w:r>
        <w:rPr>
          <w:rFonts w:ascii="Roboto;sans-serif" w:hAnsi="Roboto;sans-serif"/>
          <w:b w:val="false"/>
          <w:color w:val="000000"/>
          <w:sz w:val="18"/>
        </w:rPr>
        <w:t>Total other expense, net comprised the following for the three and nine months ended March 31, 2026:</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of $30.0 million and $93.8 million, respectively;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$8.7 million and $27.6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losses of $4.3 million and $10.6 million, respectively; and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expense, net of zero and $0.3 million, respectively.</w:t>
      </w:r>
    </w:p>
    <w:p>
      <w:pPr>
        <w:pStyle w:val="TextBody"/>
        <w:bidi w:val="0"/>
        <w:spacing w:lineRule="auto" w:line="417" w:before="240" w:after="283"/>
        <w:jc w:val="both"/>
        <w:rPr>
          <w:rFonts w:ascii="Roboto;sans-serif" w:hAnsi="Roboto;sans-serif"/>
          <w:b w:val="false"/>
          <w:color w:val="000000"/>
          <w:sz w:val="18"/>
        </w:rPr>
      </w:pPr>
      <w:r>
        <w:rPr>
          <w:rFonts w:ascii="Roboto;sans-serif" w:hAnsi="Roboto;sans-serif"/>
          <w:b w:val="false"/>
          <w:color w:val="000000"/>
          <w:sz w:val="18"/>
        </w:rPr>
        <w:t>Total other expense, net comprised the following for the three and nine months ended March 31, 2025:</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of $32.6 million and $102.6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$7.9 million and $23.7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gains of $10.3 million and $6.6 million, respectively;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expense, net of $0.1 million and zero, respectively.</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 xml:space="preserve">Income tax expense for the three and nine months ended March 31, 2026 of $0.4 million and $0.9 million, respectively, was primarily due to state and international taxes. Income tax expense for the three and nine months ended March 31, 2025 of $0.8 million and $2.3 million, respectively, was primarily due to state and international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acquisition-related costs, including transaction and integration costs;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and gains (losses) on disposals of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w:t>
      </w:r>
      <w:r>
        <w:rPr>
          <w:color w:val="050505"/>
        </w:rPr>
        <w:t xml:space="preserve"> </w:t>
      </w:r>
      <w:r>
        <w:rPr>
          <w:rFonts w:ascii="Roboto;sans-serif" w:hAnsi="Roboto;sans-serif"/>
          <w:b w:val="false"/>
          <w:color w:val="050505"/>
          <w:sz w:val="18"/>
        </w:rPr>
        <w:t>costs associated with the Restructuring Plans;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supplier settlements that are</w:t>
      </w:r>
      <w:r>
        <w:rPr>
          <w:color w:val="000000"/>
        </w:rPr>
        <w:t xml:space="preserve"> </w:t>
      </w:r>
      <w:r>
        <w:rPr>
          <w:rFonts w:ascii="Roboto;sans-serif" w:hAnsi="Roboto;sans-serif"/>
          <w:b w:val="false"/>
          <w:color w:val="000000"/>
          <w:sz w:val="18"/>
        </w:rPr>
        <w:t>outside of the ordinary course of business and are nonrecurring, infrequent or unusual based on factors such as the nature of the settlements, as well as our frequency and past practice of performing refinancing activities</w:t>
      </w:r>
      <w:r>
        <w:rPr>
          <w:rFonts w:ascii="Roboto;sans-serif" w:hAnsi="Roboto;sans-serif"/>
          <w:b w:val="false"/>
          <w:color w:val="050505"/>
          <w:sz w:val="18"/>
        </w:rPr>
        <w:t>;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income (loss),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96"/>
        <w:gridCol w:w="1100"/>
        <w:gridCol w:w="1108"/>
        <w:gridCol w:w="306"/>
        <w:gridCol w:w="956"/>
        <w:gridCol w:w="147"/>
        <w:gridCol w:w="147"/>
        <w:gridCol w:w="147"/>
        <w:gridCol w:w="147"/>
        <w:gridCol w:w="306"/>
        <w:gridCol w:w="910"/>
        <w:gridCol w:w="147"/>
        <w:gridCol w:w="109"/>
        <w:gridCol w:w="109"/>
        <w:gridCol w:w="109"/>
        <w:gridCol w:w="280"/>
        <w:gridCol w:w="878"/>
        <w:gridCol w:w="135"/>
        <w:gridCol w:w="135"/>
        <w:gridCol w:w="135"/>
        <w:gridCol w:w="135"/>
        <w:gridCol w:w="280"/>
        <w:gridCol w:w="984"/>
        <w:gridCol w:w="199"/>
      </w:tblGrid>
      <w:tr>
        <w:trPr/>
        <w:tc>
          <w:tcPr>
            <w:tcW w:w="1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5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5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other expense, net</w:t>
            </w:r>
            <w:r>
              <w:rPr>
                <w:rFonts w:ascii="Roboto;sans-serif" w:hAnsi="Roboto;sans-serif"/>
                <w:b w:val="false"/>
                <w:color w:val="000000"/>
                <w:sz w:val="12"/>
              </w:rPr>
              <w:t>(1)</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(2)</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Supplier settlements</w:t>
            </w:r>
            <w:r>
              <w:rPr>
                <w:rFonts w:ascii="Roboto;sans-serif" w:hAnsi="Roboto;sans-serif"/>
                <w:b w:val="false"/>
                <w:color w:val="000000"/>
                <w:sz w:val="12"/>
              </w:rPr>
              <w:t>(3)</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Primarily consists of Interest expense of $30.0 million and $93.8 million, Interest income of $(8.7) million and $(27.6) million, and foreign exchange losses of $4.3 million and $10.6 million, for the three and nine months ended March 31, 2026, respectively. Primarily consists of Interest expense of $32.6 million and $102.6 million, foreign exchange gains of $(10.3) million and $(6.6) million, and Interest income of $(7.9) million and $(23.7) million, for the three and nine months ended March 31, 2025, respectively.</w:t>
      </w:r>
    </w:p>
    <w:p>
      <w:pPr>
        <w:pStyle w:val="TextBody"/>
        <w:bidi w:val="0"/>
        <w:spacing w:lineRule="auto" w:line="288" w:before="60" w:after="60"/>
        <w:jc w:val="both"/>
        <w:rPr/>
      </w:pPr>
      <w:r>
        <w:rPr>
          <w:rFonts w:ascii="Roboto;sans-serif" w:hAnsi="Roboto;sans-serif"/>
          <w:b w:val="false"/>
          <w:color w:val="000000"/>
          <w:sz w:val="14"/>
        </w:rPr>
        <w:t xml:space="preserve">(2) Represents charges incurred in connection with the Restructuring Plans; refer to </w:t>
      </w:r>
      <w:r>
        <w:rPr>
          <w:rFonts w:ascii="Roboto;sans-serif" w:hAnsi="Roboto;sans-serif"/>
          <w:b w:val="false"/>
          <w:i/>
          <w:color w:val="000000"/>
          <w:sz w:val="14"/>
        </w:rPr>
        <w:t>Note 4, Restructuring</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w:t>
      </w:r>
    </w:p>
    <w:p>
      <w:pPr>
        <w:pStyle w:val="TextBody"/>
        <w:bidi w:val="0"/>
        <w:spacing w:lineRule="auto" w:line="288" w:before="60" w:after="60"/>
        <w:jc w:val="both"/>
        <w:rPr/>
      </w:pPr>
      <w:r>
        <w:rPr>
          <w:rFonts w:ascii="Roboto;sans-serif" w:hAnsi="Roboto;sans-serif"/>
          <w:b w:val="false"/>
          <w:color w:val="000000"/>
          <w:sz w:val="14"/>
        </w:rPr>
        <w:t xml:space="preserve">(3) </w:t>
      </w:r>
      <w:r>
        <w:rPr>
          <w:rFonts w:ascii="Roboto;sans-serif" w:hAnsi="Roboto;sans-serif"/>
          <w:b w:val="false"/>
          <w:color w:val="050505"/>
          <w:sz w:val="14"/>
        </w:rPr>
        <w:t>Represents accrual for the</w:t>
      </w:r>
      <w:r>
        <w:rPr>
          <w:color w:val="000000"/>
        </w:rPr>
        <w:t xml:space="preserve"> </w:t>
      </w:r>
      <w:r>
        <w:rPr>
          <w:rFonts w:ascii="Roboto;sans-serif" w:hAnsi="Roboto;sans-serif"/>
          <w:b w:val="false"/>
          <w:color w:val="050505"/>
          <w:sz w:val="14"/>
        </w:rPr>
        <w:t>nine months ended March 31, 2025</w:t>
      </w:r>
      <w:r>
        <w:rPr>
          <w:color w:val="000000"/>
        </w:rPr>
        <w:t xml:space="preserve"> </w:t>
      </w:r>
      <w:r>
        <w:rPr>
          <w:rFonts w:ascii="Roboto;sans-serif" w:hAnsi="Roboto;sans-serif"/>
          <w:b w:val="false"/>
          <w:color w:val="050505"/>
          <w:sz w:val="14"/>
        </w:rPr>
        <w:t>related to settlement of disputes with a third-party supplier about certain alleged past and future commitments, which occurred due to part of an unusual, one-time effort to adjust our forecasted inventory during its fiscal years 2022 and 2023. With this settlement, we have substantially settled our purchase commitments related disputes with our suppliers that were linked to our one-time effort to evaluate and adjust our forecasted inventory needs with our suppliers during fiscal years 2022 and 2023. As such, we currently do not expect to add back any additional supplier settlements related to that effort.</w:t>
      </w:r>
    </w:p>
    <w:p>
      <w:pPr>
        <w:pStyle w:val="TextBody"/>
        <w:bidi w:val="0"/>
        <w:spacing w:lineRule="auto" w:line="417" w:before="240" w:after="6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use Subscription Contribution and Subscription Contribution Margin to measure our ability to scale and leverage the costs of our Connected Fitness Subscriptions. We believe that these non-GAAP financial measures are useful to investors for period-to-period comparisons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57"/>
        <w:gridCol w:w="1092"/>
        <w:gridCol w:w="1097"/>
        <w:gridCol w:w="266"/>
        <w:gridCol w:w="834"/>
        <w:gridCol w:w="319"/>
        <w:gridCol w:w="128"/>
        <w:gridCol w:w="128"/>
        <w:gridCol w:w="128"/>
        <w:gridCol w:w="266"/>
        <w:gridCol w:w="834"/>
        <w:gridCol w:w="319"/>
        <w:gridCol w:w="109"/>
        <w:gridCol w:w="109"/>
        <w:gridCol w:w="109"/>
        <w:gridCol w:w="230"/>
        <w:gridCol w:w="904"/>
        <w:gridCol w:w="276"/>
        <w:gridCol w:w="110"/>
        <w:gridCol w:w="110"/>
        <w:gridCol w:w="110"/>
        <w:gridCol w:w="230"/>
        <w:gridCol w:w="904"/>
        <w:gridCol w:w="336"/>
      </w:tblGrid>
      <w:tr>
        <w:trPr/>
        <w:tc>
          <w:tcPr>
            <w:tcW w:w="125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4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4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1,239.0 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Less: Subscription Cost of revenue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874.9 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70.6 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68.2 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318.3 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304.9 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914.0 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74.4 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72.9 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74.3 </w:t>
            </w:r>
          </w:p>
        </w:tc>
        <w:tc>
          <w:tcPr>
            <w:tcW w:w="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72.2 </w:t>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Free Cash Flow</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provided by operating activities,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315"/>
        <w:gridCol w:w="1125"/>
        <w:gridCol w:w="1132"/>
        <w:gridCol w:w="313"/>
        <w:gridCol w:w="980"/>
        <w:gridCol w:w="151"/>
        <w:gridCol w:w="151"/>
        <w:gridCol w:w="151"/>
        <w:gridCol w:w="151"/>
        <w:gridCol w:w="313"/>
        <w:gridCol w:w="814"/>
        <w:gridCol w:w="151"/>
        <w:gridCol w:w="109"/>
        <w:gridCol w:w="109"/>
        <w:gridCol w:w="109"/>
        <w:gridCol w:w="287"/>
        <w:gridCol w:w="900"/>
        <w:gridCol w:w="138"/>
        <w:gridCol w:w="138"/>
        <w:gridCol w:w="138"/>
        <w:gridCol w:w="138"/>
        <w:gridCol w:w="287"/>
        <w:gridCol w:w="900"/>
        <w:gridCol w:w="205"/>
      </w:tblGrid>
      <w:tr>
        <w:trPr/>
        <w:tc>
          <w:tcPr>
            <w:tcW w:w="131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Roboto;sans-serif" w:hAnsi="Roboto;sans-serif"/>
                <w:b/>
                <w:color w:val="000000"/>
                <w:sz w:val="18"/>
              </w:rPr>
            </w:pPr>
            <w:r>
              <w:rPr>
                <w:rFonts w:ascii="Roboto;sans-serif" w:hAnsi="Roboto;sans-serif"/>
                <w:b/>
                <w:color w:val="000000"/>
                <w:sz w:val="18"/>
              </w:rPr>
              <w:t>(in millions)</w:t>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our Term Loan, as well as cash flows from operating activities. As of March 31, 2026, we had Cash and cash equivalents of approximately $1,126.3 million.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anticipate capital expenditures over the next 12 months to include investments in product development, content and our studios, systems implementation, and IT infrastructure.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equivalents and cash flow from operations will be sufficient to meet our working capital and capital expenditure needs for the next 12 months and beyond. Our future capital requirements could vary materially from those currently planned and will depend on many factors and their timing, including:</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ability to generate and grow revenue and market acceptance of our Connected Fitness Products;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Adjustments to our supply chain and cost structures in response to material fluctuations in product demand;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Expenditures related to acquisitions;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Spending on research and development and manufacturing initiatives;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financial impact of product recalls and sales and marketing activities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New product introductions;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Investments needed for international expansion; and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Overall economic conditions.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additional indebtedness would result in increased debt service obligations and the instruments governing such debt could include operating and financing covenants that would restrict our operations. There can be no assurance that we will be able to raise additional capital. The inability to raise capital would adversely affect our ability to achieve our business objectives.</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Cash Flows</w:t>
      </w:r>
    </w:p>
    <w:tbl>
      <w:tblPr>
        <w:tblW w:w="7900" w:type="dxa"/>
        <w:jc w:val="left"/>
        <w:tblInd w:w="0" w:type="dxa"/>
        <w:tblLayout w:type="fixed"/>
        <w:tblCellMar>
          <w:top w:w="28" w:type="dxa"/>
          <w:left w:w="28" w:type="dxa"/>
          <w:bottom w:w="28" w:type="dxa"/>
          <w:right w:w="28" w:type="dxa"/>
        </w:tblCellMar>
      </w:tblPr>
      <w:tblGrid>
        <w:gridCol w:w="1701"/>
        <w:gridCol w:w="1492"/>
        <w:gridCol w:w="1502"/>
        <w:gridCol w:w="295"/>
        <w:gridCol w:w="923"/>
        <w:gridCol w:w="142"/>
        <w:gridCol w:w="142"/>
        <w:gridCol w:w="142"/>
        <w:gridCol w:w="142"/>
        <w:gridCol w:w="295"/>
        <w:gridCol w:w="923"/>
        <w:gridCol w:w="201"/>
      </w:tblGrid>
      <w:tr>
        <w:trPr/>
        <w:tc>
          <w:tcPr>
            <w:tcW w:w="17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6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6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investing activities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Operating Activities</w:t>
      </w:r>
    </w:p>
    <w:p>
      <w:pPr>
        <w:pStyle w:val="TextBody"/>
        <w:bidi w:val="0"/>
        <w:spacing w:lineRule="auto" w:line="288" w:before="0" w:after="240"/>
        <w:jc w:val="both"/>
        <w:rPr/>
      </w:pPr>
      <w:r>
        <w:rPr>
          <w:rFonts w:ascii="Roboto;sans-serif" w:hAnsi="Roboto;sans-serif"/>
          <w:b w:val="false"/>
          <w:color w:val="000000"/>
          <w:sz w:val="18"/>
        </w:rPr>
        <w:t>Net cash provided by operating activities of $296.5 million for the nine months ended March 31, 2026 was primarily related to non-cash adjustments of $292.0 million, a net decrease in operating assets and liabilities of $2.9 million and a net income of $1.6 million. Non-cash adjustments primarily consisted of $155.6 million of stock-based compensation expense, $45.7 million of depreciation and amortization, $38.4 million of non-cash operating lease expense, and $34.7 million of impairment expense. The net decrease in operating assets and liabilities was primarily due to a $38.4 million decrease in net inventory levels, a $37.9 million decrease in prepaid expenses and other current assets, and a $22.4 million decrease in accounts receivable, partially offset by a $57.7 million decrease in net operating lease liabilities due to lease payments and lease terminations as we continue to reduce our real estate footprint in connection with the Restructuring Plans, and a $27.6 million</w:t>
      </w:r>
      <w:r>
        <w:rPr>
          <w:color w:val="000000"/>
        </w:rPr>
        <w:t xml:space="preserve"> </w:t>
      </w:r>
      <w:r>
        <w:rPr>
          <w:rFonts w:ascii="Roboto;sans-serif" w:hAnsi="Roboto;sans-serif"/>
          <w:b w:val="false"/>
          <w:color w:val="000000"/>
          <w:sz w:val="18"/>
        </w:rPr>
        <w:t>decrease in accounts payable and accrued expenses.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Net cash provided by operating activities of $215.9 million for the nine months ended March 31, 2025 was primarily related to non-cash adjustments of $339.5 million and a net decrease in operating assets and liabilities of $16.8 million, partially offset by a net loss of $140.5 million. Non-cash adjustments primarily consisted of $176.2 million of stock-based compensation expense, $68.8 million of depreciation and amortization, $52.3 million of impairment expense, and $41.9 million of non-cash operating lease expense. The decrease in operating assets and liabilities was primarily due to a $125.0 million decrease in net inventory levels and a $25.2 million decrease in prepaid expenses and other current assets, partially offset by a $79.5 million decrease in accounts payable and accrued expenses and a $64.1 million decrease in net operating lease liabilities due to lease payments and lease terminations as we continue to reduce our real estate footprint through our 2024 Restructuring Plan efforts. </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Investing activities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used in investing activities of $9.8 million for the nine months ended March 31, 2026 was due to $7.6 million used for capital expenditures and $2.2 million used for the Breathwrk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used in investing activities of $0.4 million for the nine months ended March 31, 2025 was due to $4.6 million used for capital expenditures, partially offset by $4.2 million in proceeds from the sale of the remaining Peloton Output Park land parcel.</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Financing activities</w:t>
      </w:r>
    </w:p>
    <w:p>
      <w:pPr>
        <w:pStyle w:val="TextBody"/>
        <w:bidi w:val="0"/>
        <w:spacing w:lineRule="auto" w:line="288" w:before="0" w:after="240"/>
        <w:jc w:val="both"/>
        <w:rPr/>
      </w:pPr>
      <w:r>
        <w:rPr>
          <w:rFonts w:ascii="Roboto;sans-serif" w:hAnsi="Roboto;sans-serif"/>
          <w:b w:val="false"/>
          <w:color w:val="000000"/>
          <w:sz w:val="18"/>
        </w:rPr>
        <w:t>Net cash used in financing activities of $203.8 million for the nine months ended March 31, 2026 was primarily due to a $199.0 million repayment of the 2026 Notes upon maturity, $7.5 million in principal repayments on the Term Loan, partially offset by $2.9 million</w:t>
      </w:r>
      <w:r>
        <w:rPr>
          <w:color w:val="000000"/>
        </w:rPr>
        <w:t xml:space="preserve"> </w:t>
      </w:r>
      <w:r>
        <w:rPr>
          <w:rFonts w:ascii="Roboto;sans-serif" w:hAnsi="Roboto;sans-serif"/>
          <w:b w:val="false"/>
          <w:color w:val="000000"/>
          <w:sz w:val="18"/>
        </w:rPr>
        <w:t xml:space="preserve">related to net proceeds from purchases under the Employee Stock Purchase Plan (“ESPP”) and option exercises under our employee stock plans.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financing activities of $2.1 million for the nine months ended March 31, 2025 was primarily related to net proceeds from option exercises under our employee stock plans and purchases under the ESPP of $9.7 million, partially offset by $7.5 million in principal repayments on the Term Loan.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Debt Obligations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In February 2021, we issued $1.0 billion aggregate principal amount of 0.00% Convertible Senior Notes due 2026 (the “2026 Notes”) in a private offering. The net proceeds from the offering were approximately $977.2 million, after deducting the initial purchasers’ discounts and commissions and our offering expenses. The 2026 Notes did not bear regular interest, and the principal amount of the 2026 Notes did not accrete. The 2026 Notes matured on February 15, 2026, and during the three months ended March 31, 2026, we repaid in cash the remaining $199.0 million aggregate principal amount of the 2026 Notes.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In May 2024, we issued $350.0 million aggregate principal amount of 5.50% Convertible Senior Notes due 2029 (the “2029 Notes”) in a private offering. The net proceeds from this offering were approximately $342.3 million, which were used, together with proceeds from the Term Loan and cash on hand, to repurchase approximately $801.0 million aggregate principal amount of the 2026 Notes. The 2029 Notes bear interest at a rate of 5.50% per annum, payable semi-annually in arrears on June 1 and December 1 of each year, beginning on December 1, 2024. The 2029 Notes will mature on December 1, 2029, unless earlier converted, redeemed, or repurchased. The 2029 Notes will be convertible at the option of the holders at certain times and upon the occurrence of certain events. </w:t>
      </w:r>
    </w:p>
    <w:p>
      <w:pPr>
        <w:pStyle w:val="TextBody"/>
        <w:bidi w:val="0"/>
        <w:spacing w:lineRule="auto" w:line="288" w:before="0" w:after="240"/>
        <w:jc w:val="both"/>
        <w:rPr/>
      </w:pPr>
      <w:r>
        <w:rPr>
          <w:rFonts w:ascii="Roboto;sans-serif" w:hAnsi="Roboto;sans-serif"/>
          <w:b w:val="false"/>
          <w:color w:val="000000"/>
          <w:sz w:val="18"/>
        </w:rPr>
        <w:t xml:space="preserve">On May 30, 2024, we entered into a Third Amended and Restated Credit Agreement, which provides for a $1.0 billion term loan facility (the “Term Loan”) and a $100.0 million revolving credit facility (the “Revolving Facility”), both of which will mature on May 30, 2029. The Term Loan amortizes in quarterly installments of 0.25%, payable at the end of each fiscal quarter and on the maturity date. Interest on borrowings under the Term Loan and Revolving Facility are determined based on calculations using an alternate base rate or term SOFR rate (further described in </w:t>
      </w:r>
      <w:r>
        <w:rPr>
          <w:rFonts w:ascii="Roboto;sans-serif" w:hAnsi="Roboto;sans-serif"/>
          <w:b w:val="false"/>
          <w:i/>
          <w:color w:val="000000"/>
          <w:sz w:val="18"/>
        </w:rPr>
        <w:t>Note 7, Debt</w:t>
      </w:r>
      <w:r>
        <w:rPr>
          <w:rFonts w:ascii="Roboto;sans-serif" w:hAnsi="Roboto;sans-serif"/>
          <w:b w:val="false"/>
          <w:color w:val="000000"/>
          <w:sz w:val="18"/>
        </w:rPr>
        <w:t>) at our option. We are also required to pay a quarterly commitment fee on the unused portion of the Revolving Facility, which accrues at a rate of 0.375% or 0.500% per annum depending on our First Lien Net Leverage Ratio (as defined in the Third Amended and Restated Credit Agreement). As of March 31, 2026, we had drawn the full amount of the Term Loan and had not drawn on the Revolving Facility, and we had $982.5 million total outstanding borrowings under the 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of our material subsidiaries if, at the end of future financial quarters, certain conditions are not met. The Third Amended and Restated Credit Agreement contains customary affirmative covenants as well as customary negative covenants.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are required to pledge or otherwise restrict a portion of cash and cash equivalents as collateral for standby letters of credit. As of March 31, 2026, we had outstanding letters of credit totaling $45.6 million, which are classified as Restricted cash on the Condensed Consolidated Balance Sheets.</w:t>
      </w:r>
    </w:p>
    <w:p>
      <w:pPr>
        <w:pStyle w:val="TextBody"/>
        <w:bidi w:val="0"/>
        <w:spacing w:lineRule="auto" w:line="288" w:before="0" w:after="240"/>
        <w:jc w:val="both"/>
        <w:rPr/>
      </w:pPr>
      <w:r>
        <w:rPr>
          <w:rFonts w:ascii="Roboto;sans-serif" w:hAnsi="Roboto;sans-serif"/>
          <w:b w:val="false"/>
          <w:color w:val="000000"/>
          <w:sz w:val="18"/>
        </w:rPr>
        <w:t xml:space="preserve">Refer to </w:t>
      </w:r>
      <w:r>
        <w:rPr>
          <w:rFonts w:ascii="Roboto;sans-serif" w:hAnsi="Roboto;sans-serif"/>
          <w:b w:val="false"/>
          <w:i/>
          <w:color w:val="000000"/>
          <w:sz w:val="18"/>
        </w:rPr>
        <w:t>Note 7, Debt</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 for further details regarding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Contractual Obligations and Commitments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As of March 31, 2026,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706"/>
        <w:gridCol w:w="109"/>
        <w:gridCol w:w="109"/>
        <w:gridCol w:w="109"/>
        <w:gridCol w:w="109"/>
        <w:gridCol w:w="226"/>
        <w:gridCol w:w="88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royalty payments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 xml:space="preserve">(1) Lease obligations relate to our office space, warehouses, production studios, retail locations, and equipment. The original lease terms are between one and 20 years, and the majority of the lease agreements are renewable at the end of the lease period. </w:t>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Third Amended and Restated Credit Agreement, we are required to pay a commitment fee of 0.500% or 0.375% per annum, depending on whether the First Lien Net Leverage Ratio (as defined in the Third Amended and Restated Credit Agreement) is greater or less than 5.00 to 1.00, on a quarterly basis based on the unused portion of the Revolving Facility. The payments due by period in the table above are reflective of the rate as of March 31, 2026, which is 0.375%.</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other contractual obligations, which primarily relate to cloud computing and other service contracts.</w:t>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2029 Notes and Term Loan obligations.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non-cancelable, non-returnable components based on our provided forecasts. </w:t>
      </w:r>
    </w:p>
    <w:p>
      <w:pPr>
        <w:pStyle w:val="TextBody"/>
        <w:bidi w:val="0"/>
        <w:spacing w:lineRule="auto" w:line="288" w:before="0" w:after="240"/>
        <w:jc w:val="both"/>
        <w:rPr/>
      </w:pPr>
      <w:r>
        <w:rPr>
          <w:rFonts w:ascii="Roboto;sans-serif" w:hAnsi="Roboto;sans-serif"/>
          <w:b w:val="false"/>
          <w:color w:val="000000"/>
          <w:sz w:val="18"/>
        </w:rPr>
        <w:t xml:space="preserve">As of March 31, 2026, our commitments to contract with third-party manufacturers for their inventory on-hand and component purchase commitments related to the manufacture of our products were estimated to be approximately $48.3 million. See </w:t>
      </w:r>
      <w:r>
        <w:rPr>
          <w:color w:val="000000"/>
        </w:rPr>
        <w:t>“</w:t>
      </w:r>
      <w:r>
        <w:rPr>
          <w:rFonts w:ascii="Roboto;sans-serif" w:hAnsi="Roboto;sans-serif"/>
          <w:b w:val="false"/>
          <w:i/>
          <w:color w:val="000000"/>
          <w:sz w:val="18"/>
        </w:rPr>
        <w:t>Risk Factors — 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0"/>
        <w:jc w:val="both"/>
        <w:rPr/>
      </w:pPr>
      <w:r>
        <w:rPr>
          <w:rFonts w:ascii="Roboto;sans-serif" w:hAnsi="Roboto;sans-serif"/>
          <w:b w:val="false"/>
          <w:color w:val="000000"/>
          <w:sz w:val="18"/>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II, Item 7 of the Form 10-K. There have been no material changes to our critical accounting estimates as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Summary of Significant Accounting Policies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 under the heading “</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3. Quantitative and Qualitative Disclosures About Market Risk</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had Cash and cash equivalents of $1,126.3 million as of March 31, 2026.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Term Loan. We monitor our cost of borrowing under our facilities, taking into account our funding requirements, and our expectations for short-term rates in the future. A hypothetical 10% change in the interest rate on our Term Loan for all periods presented would not have a material impact on our condensed consolidated financial statements.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inflationary conditions, there have been and may continue to be additional pressures on the ongoing increases in supply chain and logistics costs, materials costs, and labor costs. The effect of U.S. and global tariffs may spur inflationary conditions and create further pressures on costs. Additionally, ongoing and future global conflicts may further drive inflationary pressures throughout the global economy and lead to potential market disruptions.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tariffs,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Under the supervision of our Chief Executive Officer and Interim Chief Financial Officer, we evaluated the effectiveness of our disclosure controls and procedures (as defined in Rules 13a-15(e) and 15d-15(e) under the Exchange Act) as of March 31, 2026. Based on this evaluation, our Chief Executive Officer and Interim Chief Financial Officer concluded that, as of March 31, 2026,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Interim Chief Financial Officer, to allow timely decisions regarding its required disclosure.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Interim Chief Financial Officer,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management, including our Chief Executive Officer and Interim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 Legal Proceedings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 claims or proceedings, regardless of the merits, is inherently uncertain.</w:t>
      </w:r>
    </w:p>
    <w:p>
      <w:pPr>
        <w:pStyle w:val="TextBody"/>
        <w:bidi w:val="0"/>
        <w:spacing w:lineRule="auto" w:line="288" w:before="0" w:after="240"/>
        <w:jc w:val="both"/>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There have been no material changes to the risks disclosed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3. Defaults Upon Senior Securities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5. Other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Rule 10b5-1 Trading Plans</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During the three months ended March 31, 2026, none of our directors or officers, as defined in Rule 16a-1(f) of the Exchange Act, adopted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7"/>
        <w:gridCol w:w="1420"/>
        <w:gridCol w:w="1433"/>
        <w:gridCol w:w="233"/>
        <w:gridCol w:w="233"/>
        <w:gridCol w:w="177"/>
        <w:gridCol w:w="306"/>
        <w:gridCol w:w="306"/>
        <w:gridCol w:w="172"/>
        <w:gridCol w:w="275"/>
        <w:gridCol w:w="275"/>
        <w:gridCol w:w="276"/>
        <w:gridCol w:w="263"/>
        <w:gridCol w:w="263"/>
        <w:gridCol w:w="250"/>
        <w:gridCol w:w="446"/>
        <w:gridCol w:w="446"/>
        <w:gridCol w:w="6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12"/>
            <w:tcBorders/>
            <w:shd w:fill="FEFEFE"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533"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3"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8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533"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Roboto;sans-serif" w:hAnsi="Roboto;sans-serif"/>
                  <w:b w:val="false"/>
                  <w:color w:val="0000FF"/>
                  <w:sz w:val="18"/>
                  <w:u w:val="single"/>
                </w:rPr>
                <w:t xml:space="preserve">Restated Certificate of Incorporation. </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Roboto;sans-serif" w:hAnsi="Roboto;sans-serif"/>
                  <w:b w:val="false"/>
                  <w:color w:val="0000FF"/>
                  <w:sz w:val="18"/>
                  <w:u w:val="single"/>
                </w:rPr>
                <w:t>Second Amended and Restated Bylaws.</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04/08/2024</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Roboto;sans-serif" w:hAnsi="Roboto;sans-serif"/>
                  <w:b w:val="false"/>
                  <w:color w:val="000080"/>
                  <w:sz w:val="18"/>
                  <w:u w:val="single"/>
                </w:rPr>
                <w:t>Transition Agreement</w:t>
              </w:r>
            </w:hyperlink>
            <w:hyperlink r:id="rId5">
              <w:r>
                <w:rPr>
                  <w:rStyle w:val="InternetLink"/>
                  <w:rFonts w:ascii="Roboto;sans-serif" w:hAnsi="Roboto;sans-serif"/>
                  <w:b w:val="false"/>
                  <w:color w:val="000080"/>
                  <w:sz w:val="18"/>
                  <w:u w:val="single"/>
                </w:rPr>
                <w:t>, by and between Jen Cotter and Pelo</w:t>
              </w:r>
            </w:hyperlink>
            <w:hyperlink r:id="rId6">
              <w:r>
                <w:rPr>
                  <w:rStyle w:val="InternetLink"/>
                  <w:rFonts w:ascii="Roboto;sans-serif" w:hAnsi="Roboto;sans-serif"/>
                  <w:b w:val="false"/>
                  <w:color w:val="000080"/>
                  <w:sz w:val="18"/>
                  <w:u w:val="single"/>
                </w:rPr>
                <w:t>ton Interactive Inc., dated Ma</w:t>
              </w:r>
            </w:hyperlink>
            <w:hyperlink r:id="rId7">
              <w:r>
                <w:rPr>
                  <w:rStyle w:val="InternetLink"/>
                  <w:rFonts w:ascii="Roboto;sans-serif" w:hAnsi="Roboto;sans-serif"/>
                  <w:b w:val="false"/>
                  <w:color w:val="000080"/>
                  <w:sz w:val="18"/>
                  <w:u w:val="single"/>
                </w:rPr>
                <w:t xml:space="preserve">rch </w:t>
              </w:r>
            </w:hyperlink>
            <w:hyperlink r:id="rId8">
              <w:r>
                <w:rPr>
                  <w:rStyle w:val="InternetLink"/>
                  <w:rFonts w:ascii="Roboto;sans-serif" w:hAnsi="Roboto;sans-serif"/>
                  <w:b w:val="false"/>
                  <w:color w:val="000080"/>
                  <w:sz w:val="18"/>
                  <w:u w:val="single"/>
                </w:rPr>
                <w:t>1</w:t>
              </w:r>
            </w:hyperlink>
            <w:hyperlink r:id="rId9">
              <w:r>
                <w:rPr>
                  <w:rStyle w:val="InternetLink"/>
                  <w:rFonts w:ascii="Roboto;sans-serif" w:hAnsi="Roboto;sans-serif"/>
                  <w:b w:val="false"/>
                  <w:color w:val="000080"/>
                  <w:sz w:val="18"/>
                  <w:u w:val="single"/>
                </w:rPr>
                <w:t>4, 2026</w:t>
              </w:r>
            </w:hyperlink>
            <w:hyperlink r:id="rId10">
              <w:r>
                <w:rPr>
                  <w:rStyle w:val="InternetLink"/>
                  <w:rFonts w:ascii="Roboto;sans-serif" w:hAnsi="Roboto;sans-serif"/>
                  <w:b w:val="false"/>
                  <w:color w:val="000080"/>
                  <w:sz w:val="18"/>
                  <w:u w:val="single"/>
                </w:rPr>
                <w:t>.</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03/17/2026</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0"/>
              <w:jc w:val="center"/>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6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6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6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6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both"/>
        <w:rPr>
          <w:color w:val="000000"/>
        </w:rPr>
      </w:pPr>
      <w:r>
        <w:rPr>
          <w:color w:val="000000"/>
        </w:rPr>
        <w:t xml:space="preserve">† </w:t>
      </w:r>
      <w:r>
        <w:rPr>
          <w:rFonts w:ascii="Roboto;sans-serif" w:hAnsi="Roboto;sans-serif"/>
          <w:b w:val="false"/>
          <w:color w:val="000000"/>
          <w:sz w:val="18"/>
        </w:rPr>
        <w:t>Indicates a management contract or compensatory plan or arrangement in which directors or executive officers are eligible to participate.</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lineRule="auto" w:line="288" w:before="225" w:after="283"/>
        <w:jc w:val="left"/>
        <w:rPr/>
      </w:pPr>
      <w:hyperlink w:anchor="ibbad210ebef44d72885362f35ffda450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lineRule="auto" w:line="276" w:before="240" w:after="283"/>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8766" w:type="dxa"/>
        <w:jc w:val="left"/>
        <w:tblInd w:w="0" w:type="dxa"/>
        <w:tblLayout w:type="fixed"/>
        <w:tblCellMar>
          <w:top w:w="28" w:type="dxa"/>
          <w:left w:w="28" w:type="dxa"/>
          <w:bottom w:w="28" w:type="dxa"/>
          <w:right w:w="28" w:type="dxa"/>
        </w:tblCellMar>
      </w:tblPr>
      <w:tblGrid>
        <w:gridCol w:w="650"/>
        <w:gridCol w:w="572"/>
        <w:gridCol w:w="578"/>
        <w:gridCol w:w="467"/>
        <w:gridCol w:w="467"/>
        <w:gridCol w:w="467"/>
        <w:gridCol w:w="1626"/>
        <w:gridCol w:w="1626"/>
        <w:gridCol w:w="2313"/>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May 7, 2026</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55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Peter Stern</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Peter Stern</w:t>
              <w:br/>
              <w:t>Chief Executive Officer</w:t>
              <w:br/>
              <w:t>(Principal Executive Officer)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May 7, 2026</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Saqib Baig</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Saqib Baig</w:t>
              <w:br/>
              <w:t xml:space="preserve">Interim Chief Financial Officer and Chief Accounting Officer </w:t>
              <w:b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Saqib Baig,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Saqib Baig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Saqib Baig</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Interim Chief Financial Officer and Chief Accounting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March 31, 2026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7,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Saqib Baig, Interim Chief Financial Officer and Chief Accounting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March 31, 2026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7,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Saqib Baig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Saqib Baig</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Interim Chief Financial Officer and Chief Accounting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ix?doc=/Archives/edgar/data/0001639825/000163982524000041/pton-secondamendedandresta.htm" TargetMode="External"/><Relationship Id="rId4" Type="http://schemas.openxmlformats.org/officeDocument/2006/relationships/hyperlink" Target="https://www.sec.gov/Archives/edgar/data/1639825/000163982526000014/exhibit101-transitionagree.htm" TargetMode="External"/><Relationship Id="rId5" Type="http://schemas.openxmlformats.org/officeDocument/2006/relationships/hyperlink" Target="https://www.sec.gov/Archives/edgar/data/1639825/000163982526000014/exhibit101-transitionagree.htm" TargetMode="External"/><Relationship Id="rId6" Type="http://schemas.openxmlformats.org/officeDocument/2006/relationships/hyperlink" Target="https://www.sec.gov/Archives/edgar/data/1639825/000163982526000014/exhibit101-transitionagree.htm" TargetMode="External"/><Relationship Id="rId7" Type="http://schemas.openxmlformats.org/officeDocument/2006/relationships/hyperlink" Target="https://www.sec.gov/Archives/edgar/data/1639825/000163982526000014/exhibit101-transitionagree.htm" TargetMode="External"/><Relationship Id="rId8" Type="http://schemas.openxmlformats.org/officeDocument/2006/relationships/hyperlink" Target="https://www.sec.gov/Archives/edgar/data/1639825/000163982526000014/exhibit101-transitionagree.htm" TargetMode="External"/><Relationship Id="rId9" Type="http://schemas.openxmlformats.org/officeDocument/2006/relationships/hyperlink" Target="https://www.sec.gov/Archives/edgar/data/1639825/000163982526000014/exhibit101-transitionagree.htm" TargetMode="External"/><Relationship Id="rId10" Type="http://schemas.openxmlformats.org/officeDocument/2006/relationships/hyperlink" Target="https://www.sec.gov/Archives/edgar/data/1639825/000163982526000014/exhibit101-transitionagree.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25547</Words>
  <Characters>141894</Characters>
  <CharactersWithSpaces>165667</CharactersWithSpaces>
  <Paragraphs>3010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